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line="240" w:lineRule="auto"/>
        <w:jc w:val="center"/>
        <w:outlineLvl w:val="0"/>
        <w:widowControl w:val="0"/>
        <w:rPr>
          <w:rFonts w:ascii="Times New Roman" w:hAnsi="Times New Roman" w:eastAsia="Times New Roman"/>
          <w:sz w:val="36"/>
          <w:szCs w:val="36"/>
        </w:rPr>
      </w:pPr>
      <w:r>
        <w:rPr>
          <w:noProof/>
        </w:rPr>
        <w:drawing>
          <wp:inline distT="0" distB="0" distL="0" distR="0">
            <wp:extent cx="800100" cy="1009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a:extLst>
                        <a:ext uri="smNativeData">
                          <sm:smNativeData xmlns:sm="smNativeData" val="SMDATA_14_Y2zdYB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DAAAABAAAAAAAAAAAAAAAAAAAAAAAAAAHgAAAGgAAAAAAAAAAAAAAAAAAAAAAAAAAAAAABAnAAAQJwAAAAAAAAAAAAAAAAAAAAAAAAAAAAAAAAAAAAAAAAAAAAAUAAAAAAAAAMDA/wAAAAAAZAAAADIAAAAAAAAAZAAAAAAAAAB/f38ACgAAACEAAABAAAAAPAAAAAAAAAAHoAAAAAAAAAAAAAAAAAAAAAAAAAAAAAAAAAAAAAAAAAAAAADsBAAANgYAAAAAAAAAAAAAAAAAACgAAAAIAAAAAQAAAAEAAAA="/>
                        </a:ext>
                      </a:extLst>
                    </pic:cNvPicPr>
                  </pic:nvPicPr>
                  <pic:blipFill>
                    <a:blip r:embed="rId7"/>
                    <a:stretch>
                      <a:fillRect/>
                    </a:stretch>
                  </pic:blipFill>
                  <pic:spPr>
                    <a:xfrm>
                      <a:off x="0" y="0"/>
                      <a:ext cx="800100" cy="1009650"/>
                    </a:xfrm>
                    <a:prstGeom prst="rect">
                      <a:avLst/>
                    </a:prstGeom>
                    <a:noFill/>
                    <a:ln w="12700">
                      <a:noFill/>
                    </a:ln>
                  </pic:spPr>
                </pic:pic>
              </a:graphicData>
            </a:graphic>
          </wp:inline>
        </w:drawing>
      </w:r>
      <w:r>
        <w:rPr>
          <w:rFonts w:ascii="Times New Roman" w:hAnsi="Times New Roman" w:eastAsia="Times New Roman"/>
          <w:sz w:val="36"/>
          <w:szCs w:val="36"/>
        </w:rPr>
        <w:t>ПРОЕКТ</w:t>
      </w:r>
    </w:p>
    <w:p>
      <w:pPr>
        <w:spacing w:after="0" w:line="240" w:lineRule="auto"/>
        <w:jc w:val="center"/>
        <w:outlineLvl w:val="0"/>
        <w:widowControl w:val="0"/>
        <w:rPr>
          <w:rFonts w:ascii="Times New Roman" w:hAnsi="Times New Roman" w:eastAsia="Times New Roman"/>
          <w:sz w:val="36"/>
          <w:szCs w:val="36"/>
        </w:rPr>
      </w:pPr>
      <w:r>
        <w:rPr>
          <w:rFonts w:ascii="Times New Roman" w:hAnsi="Times New Roman" w:eastAsia="Times New Roman"/>
          <w:sz w:val="36"/>
          <w:szCs w:val="36"/>
        </w:rPr>
        <w:t>АДМИНИСТРАЦИЯ</w:t>
      </w:r>
    </w:p>
    <w:p>
      <w:pPr>
        <w:spacing w:after="0" w:line="240" w:lineRule="auto"/>
        <w:jc w:val="center"/>
        <w:outlineLvl w:val="0"/>
        <w:widowControl w:val="0"/>
        <w:rPr>
          <w:rFonts w:ascii="Times New Roman" w:hAnsi="Times New Roman" w:eastAsia="Times New Roman"/>
          <w:sz w:val="36"/>
          <w:szCs w:val="36"/>
        </w:rPr>
      </w:pPr>
      <w:r>
        <w:rPr>
          <w:rFonts w:ascii="Times New Roman" w:hAnsi="Times New Roman" w:eastAsia="Times New Roman"/>
          <w:sz w:val="36"/>
          <w:szCs w:val="36"/>
        </w:rPr>
        <w:t>ЛЕОНИДОВСКОГО СЕЛЬСОВЕТА</w:t>
      </w:r>
    </w:p>
    <w:p>
      <w:pPr>
        <w:spacing w:after="0" w:line="240" w:lineRule="auto"/>
        <w:jc w:val="center"/>
        <w:outlineLvl w:val="0"/>
        <w:widowControl w:val="0"/>
        <w:rPr>
          <w:rFonts w:ascii="Times New Roman" w:hAnsi="Times New Roman" w:eastAsia="Times New Roman"/>
          <w:sz w:val="36"/>
          <w:szCs w:val="36"/>
        </w:rPr>
      </w:pPr>
      <w:r>
        <w:rPr>
          <w:rFonts w:ascii="Times New Roman" w:hAnsi="Times New Roman" w:eastAsia="Times New Roman"/>
          <w:sz w:val="36"/>
          <w:szCs w:val="36"/>
        </w:rPr>
        <w:t>ПЕНЗЕНСКОГО РАЙОНА ПЕНЗЕНСКОЙ ОБЛАСТИ</w:t>
      </w:r>
    </w:p>
    <w:p>
      <w:pPr>
        <w:ind w:firstLine="426"/>
        <w:spacing w:after="0" w:line="240" w:lineRule="auto"/>
        <w:jc w:val="center"/>
        <w:outlineLvl w:val="0"/>
        <w:widowControl w:val="0"/>
        <w:rPr>
          <w:rFonts w:ascii="Times New Roman" w:hAnsi="Times New Roman" w:eastAsia="Times New Roman"/>
          <w:sz w:val="28"/>
          <w:szCs w:val="28"/>
        </w:rPr>
      </w:pPr>
      <w:r>
        <w:rPr>
          <w:rFonts w:ascii="Times New Roman" w:hAnsi="Times New Roman" w:eastAsia="Times New Roman"/>
          <w:sz w:val="28"/>
          <w:szCs w:val="28"/>
        </w:rPr>
      </w:r>
    </w:p>
    <w:p>
      <w:pPr>
        <w:ind w:firstLine="426"/>
        <w:spacing w:after="0" w:line="240" w:lineRule="auto"/>
        <w:jc w:val="center"/>
        <w:outlineLvl w:val="0"/>
        <w:widowControl w:val="0"/>
        <w:rPr>
          <w:rFonts w:ascii="Times New Roman" w:hAnsi="Times New Roman" w:eastAsia="Times New Roman"/>
          <w:b/>
          <w:sz w:val="32"/>
          <w:szCs w:val="32"/>
        </w:rPr>
      </w:pPr>
      <w:r>
        <w:rPr>
          <w:rFonts w:ascii="Times New Roman" w:hAnsi="Times New Roman" w:eastAsia="Times New Roman"/>
          <w:b/>
          <w:sz w:val="32"/>
          <w:szCs w:val="32"/>
        </w:rPr>
        <w:t>ПОСТАНОВЛЕНИЕ</w:t>
      </w:r>
    </w:p>
    <w:p>
      <w:pPr>
        <w:ind w:firstLine="426"/>
        <w:spacing w:after="0" w:line="240" w:lineRule="auto"/>
        <w:jc w:val="center"/>
        <w:outlineLvl w:val="0"/>
        <w:widowControl w:val="0"/>
        <w:rPr>
          <w:rFonts w:ascii="Times New Roman" w:hAnsi="Times New Roman" w:eastAsia="Times New Roman"/>
          <w:sz w:val="28"/>
          <w:szCs w:val="28"/>
        </w:rPr>
      </w:pPr>
      <w:r>
        <w:rPr>
          <w:rFonts w:ascii="Times New Roman" w:hAnsi="Times New Roman" w:eastAsia="Times New Roman"/>
          <w:sz w:val="28"/>
          <w:szCs w:val="28"/>
        </w:rPr>
      </w:r>
    </w:p>
    <w:p>
      <w:pPr>
        <w:spacing w:after="0" w:line="240" w:lineRule="auto"/>
        <w:jc w:val="center"/>
        <w:outlineLvl w:val="0"/>
        <w:widowControl w:val="0"/>
        <w:rPr>
          <w:rFonts w:ascii="Times New Roman" w:hAnsi="Times New Roman" w:eastAsia="Times New Roman"/>
          <w:sz w:val="28"/>
          <w:szCs w:val="28"/>
        </w:rPr>
      </w:pPr>
      <w:r>
        <w:rPr>
          <w:rFonts w:ascii="Times New Roman" w:hAnsi="Times New Roman" w:eastAsia="Times New Roman"/>
          <w:sz w:val="28"/>
          <w:szCs w:val="28"/>
        </w:rPr>
        <w:t>от _______ 2020 года № _______</w:t>
      </w:r>
    </w:p>
    <w:p>
      <w:pPr>
        <w:spacing w:after="0" w:line="240" w:lineRule="auto"/>
        <w:jc w:val="center"/>
        <w:outlineLvl w:val="0"/>
        <w:widowControl w:val="0"/>
        <w:rPr>
          <w:rFonts w:ascii="Times New Roman" w:hAnsi="Times New Roman" w:eastAsia="Times New Roman"/>
          <w:sz w:val="24"/>
          <w:szCs w:val="24"/>
        </w:rPr>
      </w:pPr>
      <w:r>
        <w:rPr>
          <w:rFonts w:ascii="Times New Roman" w:hAnsi="Times New Roman" w:eastAsia="Times New Roman"/>
          <w:sz w:val="24"/>
          <w:szCs w:val="24"/>
        </w:rPr>
        <w:t>ст. Леонидовка</w:t>
      </w:r>
    </w:p>
    <w:p>
      <w:pPr>
        <w:spacing w:after="0" w:line="240" w:lineRule="auto"/>
        <w:jc w:val="center"/>
        <w:widowControl w:val="0"/>
        <w:rPr>
          <w:rFonts w:ascii="Times New Roman" w:hAnsi="Times New Roman" w:eastAsia="Times New Roman"/>
          <w:sz w:val="20"/>
          <w:szCs w:val="20"/>
        </w:rPr>
      </w:pPr>
      <w:r>
        <w:rPr>
          <w:rFonts w:ascii="Times New Roman" w:hAnsi="Times New Roman" w:eastAsia="Times New Roman"/>
          <w:sz w:val="20"/>
          <w:szCs w:val="20"/>
        </w:rPr>
      </w:r>
    </w:p>
    <w:p>
      <w:pPr>
        <w:spacing w:after="0" w:line="240" w:lineRule="auto"/>
        <w:jc w:val="center"/>
        <w:rPr>
          <w:rFonts w:ascii="Times New Roman" w:hAnsi="Times New Roman" w:eastAsia="Times New Roman"/>
          <w:b/>
          <w:sz w:val="28"/>
          <w:szCs w:val="28"/>
        </w:rPr>
      </w:pPr>
      <w:r>
        <w:rPr>
          <w:rFonts w:ascii="Times New Roman" w:hAnsi="Times New Roman" w:eastAsia="Times New Roman"/>
          <w:b/>
          <w:bCs/>
          <w:sz w:val="28"/>
          <w:szCs w:val="28"/>
        </w:rPr>
        <w:t xml:space="preserve">Об утверждении </w:t>
      </w:r>
      <w:r>
        <w:rPr>
          <w:rFonts w:ascii="Times New Roman" w:hAnsi="Times New Roman" w:eastAsia="Times New Roman"/>
          <w:b/>
          <w:sz w:val="28"/>
          <w:szCs w:val="28"/>
        </w:rPr>
        <w:t>местных нормативов градостроительного проектирования Леонидовского сельсовета Пензенского района Пензенской области</w:t>
      </w:r>
    </w:p>
    <w:p>
      <w:pPr>
        <w:spacing w:after="0" w:line="240" w:lineRule="auto"/>
        <w:widowControl w:val="0"/>
        <w:rPr>
          <w:rFonts w:ascii="Times New Roman" w:hAnsi="Times New Roman" w:eastAsia="Times New Roman"/>
          <w:sz w:val="20"/>
          <w:szCs w:val="20"/>
        </w:rPr>
      </w:pPr>
      <w:r>
        <w:rPr>
          <w:rFonts w:ascii="Times New Roman" w:hAnsi="Times New Roman" w:eastAsia="Times New Roman"/>
          <w:sz w:val="20"/>
          <w:szCs w:val="20"/>
        </w:rPr>
      </w:r>
    </w:p>
    <w:p>
      <w:pPr>
        <w:ind w:firstLine="709"/>
        <w:spacing w:after="0" w:line="240" w:lineRule="auto"/>
        <w:jc w:val="both"/>
        <w:widowControl w:val="0"/>
        <w:rPr>
          <w:rFonts w:ascii="Times New Roman" w:hAnsi="Times New Roman" w:eastAsia="Times New Roman"/>
          <w:sz w:val="28"/>
          <w:szCs w:val="28"/>
        </w:rPr>
      </w:pPr>
      <w:r>
        <w:rPr>
          <w:rFonts w:ascii="Times New Roman" w:hAnsi="Times New Roman" w:eastAsia="Times New Roman"/>
          <w:sz w:val="28"/>
          <w:szCs w:val="28"/>
        </w:rPr>
        <w:t xml:space="preserve">Во исполнение </w:t>
      </w:r>
      <w:hyperlink r:id="rId8" w:history="1">
        <w:r>
          <w:rPr>
            <w:rFonts w:ascii="Times New Roman" w:hAnsi="Times New Roman" w:eastAsia="Times New Roman"/>
            <w:sz w:val="28"/>
            <w:szCs w:val="28"/>
          </w:rPr>
          <w:t>статьи 8</w:t>
        </w:r>
      </w:hyperlink>
      <w:r>
        <w:rPr>
          <w:rFonts w:ascii="Times New Roman" w:hAnsi="Times New Roman" w:eastAsia="Times New Roman"/>
          <w:sz w:val="28"/>
          <w:szCs w:val="28"/>
        </w:rPr>
        <w:t xml:space="preserve"> Градостроительного кодекса Российской Федерации, руководствуясь </w:t>
      </w:r>
      <w:hyperlink r:id="rId9" w:history="1">
        <w:r>
          <w:rPr>
            <w:rFonts w:ascii="Times New Roman" w:hAnsi="Times New Roman" w:eastAsia="Times New Roman"/>
            <w:sz w:val="28"/>
            <w:szCs w:val="28"/>
          </w:rPr>
          <w:t>статьей 5</w:t>
        </w:r>
      </w:hyperlink>
      <w:r>
        <w:rPr>
          <w:rFonts w:ascii="Times New Roman" w:hAnsi="Times New Roman" w:eastAsia="Times New Roman"/>
          <w:sz w:val="28"/>
          <w:szCs w:val="28"/>
        </w:rPr>
        <w:t xml:space="preserve"> Федерального закона от 29 декабря 2004 года № 191-ФЗ «О введении в действие Градостроительного кодекса Российской Федерации», </w:t>
      </w:r>
      <w:hyperlink r:id="rId10" w:history="1">
        <w:r>
          <w:rPr>
            <w:rFonts w:ascii="Times New Roman" w:hAnsi="Times New Roman" w:eastAsia="Times New Roman"/>
            <w:sz w:val="28"/>
            <w:szCs w:val="28"/>
          </w:rPr>
          <w:t>Федеральным законом</w:t>
        </w:r>
      </w:hyperlink>
      <w:r>
        <w:rPr>
          <w:rFonts w:ascii="Times New Roman" w:hAnsi="Times New Roman" w:eastAsia="Times New Roman"/>
          <w:sz w:val="28"/>
          <w:szCs w:val="28"/>
        </w:rPr>
        <w:t xml:space="preserve"> от 6 октября 2003 года № 131-ФЗ «Об общих принципах организации местного самоуправления в Российской Федерации», Уставом Леонидовского сельсовета Пензенского района Пензенской области,</w:t>
      </w:r>
    </w:p>
    <w:p>
      <w:pPr>
        <w:ind w:left="720"/>
        <w:spacing w:after="0" w:line="240" w:lineRule="auto"/>
        <w:widowControl w:val="0"/>
        <w:rPr>
          <w:rFonts w:ascii="Times New Roman" w:hAnsi="Times New Roman" w:eastAsia="Times New Roman"/>
          <w:sz w:val="20"/>
          <w:szCs w:val="20"/>
        </w:rPr>
      </w:pPr>
      <w:r>
        <w:rPr>
          <w:rFonts w:ascii="Times New Roman" w:hAnsi="Times New Roman" w:eastAsia="Times New Roman"/>
          <w:sz w:val="20"/>
          <w:szCs w:val="20"/>
        </w:rPr>
      </w:r>
    </w:p>
    <w:p>
      <w:pPr>
        <w:ind w:left="720"/>
        <w:spacing w:after="0" w:line="240" w:lineRule="auto"/>
        <w:jc w:val="center"/>
        <w:widowControl w:val="0"/>
        <w:rPr>
          <w:rFonts w:ascii="Times New Roman" w:hAnsi="Times New Roman" w:eastAsia="Times New Roman"/>
          <w:b/>
          <w:sz w:val="28"/>
          <w:szCs w:val="28"/>
        </w:rPr>
      </w:pPr>
      <w:r>
        <w:rPr>
          <w:rFonts w:ascii="Times New Roman" w:hAnsi="Times New Roman" w:eastAsia="Times New Roman"/>
          <w:b/>
          <w:sz w:val="28"/>
          <w:szCs w:val="28"/>
        </w:rPr>
        <w:t>Администрация Леонидовского сельсовета Пензенского района Пензенской области постановляет:</w:t>
      </w:r>
    </w:p>
    <w:p>
      <w:pPr>
        <w:ind w:left="720"/>
        <w:spacing w:after="0" w:line="240" w:lineRule="auto"/>
        <w:widowControl w:val="0"/>
        <w:rPr>
          <w:rFonts w:ascii="Times New Roman" w:hAnsi="Times New Roman" w:eastAsia="Times New Roman"/>
          <w:sz w:val="20"/>
          <w:szCs w:val="20"/>
        </w:rPr>
      </w:pPr>
      <w:r>
        <w:rPr>
          <w:rFonts w:ascii="Times New Roman" w:hAnsi="Times New Roman" w:eastAsia="Times New Roman"/>
          <w:sz w:val="20"/>
          <w:szCs w:val="20"/>
        </w:rPr>
      </w:r>
    </w:p>
    <w:p>
      <w:pPr>
        <w:ind w:firstLine="540"/>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1. Утвердить прилагаемые местные нормативы градостроительного проектирования Леонидовского сельсовета Пензенского района Пензенской области</w:t>
      </w:r>
    </w:p>
    <w:p>
      <w:pPr>
        <w:ind w:firstLine="540"/>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2. Опубликовать настоящее постановление в информационном бюллетене Леонидовского сельсовета Пензенского района Пензенской области «Местные вести».</w:t>
      </w:r>
    </w:p>
    <w:p>
      <w:pPr>
        <w:ind w:firstLine="540"/>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3. Настоящее постановление вступает в силу после дня его официального опубликования.</w:t>
      </w:r>
    </w:p>
    <w:p>
      <w:pPr>
        <w:ind w:firstLine="540"/>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4. Контроль за исполнением настоящего решения возложить на главу  администрации Леонидовского сельсовета Пензенского района Пензенской области.</w:t>
      </w:r>
    </w:p>
    <w:p>
      <w:pPr>
        <w:ind w:firstLine="993"/>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r>
    </w:p>
    <w:p>
      <w:pPr>
        <w:ind w:firstLine="993"/>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Глава администрации</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t>Леонидовского сельсовета</w:t>
        <w:tab/>
        <w:tab/>
        <w:tab/>
        <w:tab/>
        <w:tab/>
        <w:tab/>
        <w:tab/>
        <w:tab/>
        <w:t>О.А. Булатова</w:t>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r>
    </w:p>
    <w:p>
      <w:pPr>
        <w:spacing w:after="0" w:line="240" w:lineRule="auto"/>
        <w:jc w:val="both"/>
        <w:rPr>
          <w:rFonts w:ascii="Times New Roman" w:hAnsi="Times New Roman" w:eastAsia="Times New Roman"/>
          <w:sz w:val="28"/>
          <w:szCs w:val="28"/>
        </w:rPr>
      </w:pPr>
      <w:r>
        <w:rPr>
          <w:rFonts w:ascii="Times New Roman" w:hAnsi="Times New Roman" w:eastAsia="Times New Roman"/>
          <w:sz w:val="28"/>
          <w:szCs w:val="28"/>
        </w:rPr>
      </w:r>
    </w:p>
    <w:p>
      <w:pPr>
        <w:pStyle w:val="para9"/>
        <w:spacing w:line="235" w:lineRule="auto"/>
        <w:jc w:val="right"/>
        <w:rPr>
          <w:rFonts w:ascii="Times New Roman" w:hAnsi="Times New Roman" w:cs="Times New Roman"/>
          <w:sz w:val="24"/>
          <w:szCs w:val="24"/>
        </w:rPr>
      </w:pPr>
      <w:r>
        <w:rPr>
          <w:rFonts w:ascii="Times New Roman" w:hAnsi="Times New Roman" w:cs="Times New Roman"/>
          <w:sz w:val="24"/>
          <w:szCs w:val="24"/>
        </w:rPr>
      </w:r>
    </w:p>
    <w:p>
      <w:pPr>
        <w:pStyle w:val="para9"/>
        <w:spacing w:line="235" w:lineRule="auto"/>
        <w:jc w:val="right"/>
      </w:pPr>
      <w:r/>
      <w:bookmarkStart w:id="0" w:name="_GoBack"/>
      <w:bookmarkEnd w:id="0"/>
      <w:r/>
    </w:p>
    <w:p>
      <w:pPr>
        <w:pStyle w:val="para9"/>
        <w:spacing w:line="235" w:lineRule="auto"/>
        <w:jc w:val="right"/>
        <w:rPr>
          <w:rFonts w:ascii="Times New Roman" w:hAnsi="Times New Roman" w:cs="Times New Roman"/>
          <w:sz w:val="24"/>
          <w:szCs w:val="24"/>
        </w:rPr>
      </w:pPr>
      <w:r>
        <w:rPr>
          <w:rFonts w:ascii="Times New Roman" w:hAnsi="Times New Roman" w:cs="Times New Roman"/>
          <w:sz w:val="24"/>
          <w:szCs w:val="24"/>
        </w:rPr>
        <w:t>Приложение</w:t>
      </w:r>
    </w:p>
    <w:p>
      <w:pPr>
        <w:pStyle w:val="para9"/>
        <w:ind w:left="4536"/>
        <w:spacing w:line="235" w:lineRule="auto"/>
        <w:jc w:val="right"/>
        <w:rPr>
          <w:rFonts w:ascii="Times New Roman" w:hAnsi="Times New Roman" w:cs="Times New Roman"/>
          <w:sz w:val="24"/>
          <w:szCs w:val="24"/>
        </w:rPr>
      </w:pPr>
      <w:r>
        <w:rPr>
          <w:rFonts w:ascii="Times New Roman" w:hAnsi="Times New Roman" w:cs="Times New Roman"/>
          <w:sz w:val="24"/>
          <w:szCs w:val="24"/>
        </w:rPr>
        <w:t>к постановлению администрации</w:t>
      </w:r>
    </w:p>
    <w:p>
      <w:pPr>
        <w:pStyle w:val="para9"/>
        <w:ind w:left="4395"/>
        <w:spacing w:line="235" w:lineRule="auto"/>
        <w:jc w:val="right"/>
        <w:rPr>
          <w:rFonts w:ascii="Times New Roman" w:hAnsi="Times New Roman" w:cs="Times New Roman"/>
          <w:sz w:val="24"/>
          <w:szCs w:val="24"/>
        </w:rPr>
      </w:pPr>
      <w:r>
        <w:rPr>
          <w:rFonts w:ascii="Times New Roman" w:hAnsi="Times New Roman" w:cs="Times New Roman"/>
          <w:sz w:val="24"/>
          <w:szCs w:val="24"/>
        </w:rPr>
        <w:t>Леонидовского сельсовета</w:t>
      </w:r>
    </w:p>
    <w:p>
      <w:pPr>
        <w:pStyle w:val="para9"/>
        <w:ind w:left="4395"/>
        <w:spacing w:line="235" w:lineRule="auto"/>
        <w:jc w:val="right"/>
        <w:rPr>
          <w:rFonts w:ascii="Times New Roman" w:hAnsi="Times New Roman" w:cs="Times New Roman"/>
          <w:sz w:val="24"/>
          <w:szCs w:val="24"/>
        </w:rPr>
      </w:pPr>
      <w:r>
        <w:rPr>
          <w:rFonts w:ascii="Times New Roman" w:hAnsi="Times New Roman" w:cs="Times New Roman"/>
          <w:sz w:val="24"/>
          <w:szCs w:val="24"/>
        </w:rPr>
        <w:t>Пензенского района Пензенской области</w:t>
      </w:r>
    </w:p>
    <w:p>
      <w:pPr>
        <w:pStyle w:val="para1"/>
        <w:ind w:left="5670"/>
        <w:spacing w:line="235" w:lineRule="auto"/>
        <w:jc w:val="right"/>
        <w:widowControl/>
        <w:rPr>
          <w:rFonts w:ascii="Times New Roman" w:hAnsi="Times New Roman" w:cs="Times New Roman"/>
          <w:kern w:val="1"/>
          <w:sz w:val="24"/>
          <w:szCs w:val="24"/>
          <w:lang w:eastAsia="zh-cn" w:bidi="hi-in"/>
        </w:rPr>
      </w:pPr>
      <w:r>
        <w:rPr>
          <w:rFonts w:ascii="Times New Roman" w:hAnsi="Times New Roman" w:eastAsia="Arial" w:cs="Times New Roman"/>
          <w:kern w:val="1"/>
          <w:sz w:val="24"/>
          <w:szCs w:val="24"/>
          <w:lang w:eastAsia="zh-cn" w:bidi="hi-in"/>
        </w:rPr>
        <w:t xml:space="preserve">от _______ </w:t>
      </w:r>
      <w:r>
        <w:rPr>
          <w:rFonts w:ascii="Times New Roman" w:hAnsi="Times New Roman" w:cs="Times New Roman"/>
          <w:kern w:val="1"/>
          <w:sz w:val="24"/>
          <w:szCs w:val="24"/>
          <w:lang w:eastAsia="zh-cn" w:bidi="hi-in"/>
        </w:rPr>
        <w:t>№___</w:t>
      </w:r>
    </w:p>
    <w:p>
      <w:pPr>
        <w:pStyle w:val="para1"/>
        <w:ind w:left="5670"/>
        <w:spacing w:line="235" w:lineRule="auto"/>
        <w:jc w:val="right"/>
        <w:widowControl/>
        <w:rPr>
          <w:rFonts w:ascii="Times New Roman" w:hAnsi="Times New Roman" w:cs="Times New Roman"/>
          <w:kern w:val="1"/>
          <w:sz w:val="24"/>
          <w:szCs w:val="24"/>
          <w:lang w:eastAsia="zh-cn" w:bidi="hi-in"/>
        </w:rPr>
      </w:pPr>
      <w:r>
        <w:rPr>
          <w:rFonts w:ascii="Times New Roman" w:hAnsi="Times New Roman" w:cs="Times New Roman"/>
          <w:kern w:val="1"/>
          <w:sz w:val="24"/>
          <w:szCs w:val="24"/>
          <w:lang w:eastAsia="zh-cn" w:bidi="hi-in"/>
        </w:rPr>
      </w:r>
    </w:p>
    <w:p>
      <w:pPr>
        <w:pStyle w:val="para3"/>
        <w:spacing/>
        <w:jc w:val="center"/>
      </w:pPr>
      <w:r>
        <w:t>МЕСТНЫЕ НОРМАТИВЫ</w:t>
      </w:r>
    </w:p>
    <w:p>
      <w:pPr>
        <w:pStyle w:val="para3"/>
        <w:spacing/>
        <w:jc w:val="center"/>
      </w:pPr>
      <w:r>
        <w:t xml:space="preserve">ГРАДОСТРОИТЕЛЬНОГО ПРОЕКТИРОВАНИЯ </w:t>
      </w:r>
      <w:r>
        <w:rPr>
          <w:color w:val="000000"/>
        </w:rPr>
        <w:t xml:space="preserve">ЛЕОНИДОВСКОГО </w:t>
      </w:r>
      <w:r>
        <w:t>СЕЛЬСОВЕТА ПЕНЗЕНСКОГО РАЙОНА ПЕНЗЕНСКОЙ ОБЛАСТИ</w:t>
      </w:r>
    </w:p>
    <w:p>
      <w:pPr>
        <w:pStyle w:val="para1"/>
        <w:spacing/>
        <w:jc w:val="both"/>
      </w:pPr>
      <w:r/>
    </w:p>
    <w:p>
      <w:pPr>
        <w:pStyle w:val="para3"/>
        <w:spacing/>
        <w:jc w:val="center"/>
        <w:outlineLvl w:val="1"/>
      </w:pPr>
      <w:r>
        <w:t>1. Основная часть</w:t>
      </w:r>
    </w:p>
    <w:p>
      <w:pPr>
        <w:pStyle w:val="para1"/>
        <w:spacing/>
        <w:jc w:val="both"/>
      </w:pPr>
      <w:r/>
    </w:p>
    <w:p>
      <w:pPr>
        <w:pStyle w:val="para1"/>
        <w:ind w:firstLine="540"/>
        <w:spacing/>
        <w:jc w:val="both"/>
      </w:pPr>
      <w:r>
        <w:t xml:space="preserve">Предельные значения расчетных показателей минимально допустимого уровня обеспеченности объектами местного значения населения Леонидовского сельсовета Пензенского района Пензенской области и предельные значения расчетных показателей максимально допустимого уровня территориальной доступности таких объектов для населения </w:t>
      </w:r>
      <w:r>
        <w:rPr>
          <w:color w:val="000000"/>
        </w:rPr>
        <w:t xml:space="preserve">Леонидовского </w:t>
      </w:r>
      <w:r>
        <w:t>сельсовета Пензенского района Пензенской области.</w:t>
      </w:r>
    </w:p>
    <w:p>
      <w:pPr>
        <w:pStyle w:val="para1"/>
        <w:spacing/>
        <w:jc w:val="both"/>
      </w:pPr>
      <w:r/>
    </w:p>
    <w:p>
      <w:pPr>
        <w:pStyle w:val="para3"/>
        <w:spacing/>
        <w:jc w:val="center"/>
        <w:outlineLvl w:val="2"/>
      </w:pPr>
      <w:bookmarkStart w:id="1" w:name="P44"/>
      <w:bookmarkEnd w:id="1"/>
      <w:r>
        <w:t xml:space="preserve">1.1. Объекты в области транспорта: </w:t>
      </w:r>
    </w:p>
    <w:p>
      <w:pPr>
        <w:pStyle w:val="para3"/>
        <w:spacing/>
        <w:jc w:val="center"/>
      </w:pPr>
      <w:r>
        <w:t xml:space="preserve"> автомобильные дороги местного значения</w:t>
      </w:r>
    </w:p>
    <w:p>
      <w:pPr>
        <w:pStyle w:val="para1"/>
        <w:spacing/>
        <w:jc w:val="both"/>
      </w:pPr>
      <w:r/>
    </w:p>
    <w:tbl>
      <w:tblPr>
        <w:tblStyle w:val="NormalTable"/>
        <w:name w:val="Таблица2"/>
        <w:tabOrder w:val="0"/>
        <w:jc w:val="left"/>
        <w:tblInd w:w="0" w:type="dxa"/>
        <w:tblW w:w="9646" w:type="dxa"/>
        <w:tblLook w:val="0000" w:firstRow="0" w:lastRow="0" w:firstColumn="0" w:lastColumn="0" w:noHBand="0" w:noVBand="0"/>
      </w:tblPr>
      <w:tblGrid>
        <w:gridCol w:w="709"/>
        <w:gridCol w:w="1928"/>
        <w:gridCol w:w="1932"/>
        <w:gridCol w:w="1304"/>
        <w:gridCol w:w="1361"/>
        <w:gridCol w:w="2412"/>
      </w:tblGrid>
      <w:tr>
        <w:trPr>
          <w:tblHeader w:val="0"/>
          <w:cantSplit w:val="0"/>
          <w:trHeight w:val="0" w:hRule="auto"/>
        </w:trPr>
        <w:tc>
          <w:tcPr>
            <w:tcW w:w="709"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N</w:t>
            </w:r>
          </w:p>
          <w:p>
            <w:pPr>
              <w:pStyle w:val="para1"/>
              <w:spacing/>
              <w:jc w:val="center"/>
            </w:pPr>
            <w:r>
              <w:t>п/п</w:t>
            </w:r>
          </w:p>
        </w:tc>
        <w:tc>
          <w:tcPr>
            <w:tcW w:w="1928"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Наименование объекта</w:t>
            </w:r>
          </w:p>
        </w:tc>
        <w:tc>
          <w:tcPr>
            <w:tcW w:w="323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Расчетный и предельный показатели минимально допустимого уровня обеспеченности</w:t>
            </w:r>
          </w:p>
        </w:tc>
        <w:tc>
          <w:tcPr>
            <w:tcW w:w="3773"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Расчетный и предельный показатели максимально допустимого уровня территориальной доступности</w:t>
            </w:r>
          </w:p>
        </w:tc>
      </w:tr>
      <w:tr>
        <w:trPr>
          <w:tblHeader w:val="0"/>
          <w:cantSplit w:val="0"/>
          <w:trHeight w:val="0" w:hRule="auto"/>
        </w:trPr>
        <w:tc>
          <w:tcPr>
            <w:tcW w:w="709"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28"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32"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c>
          <w:tcPr>
            <w:tcW w:w="136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2412"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r>
      <w:tr>
        <w:trPr>
          <w:tblHeader w:val="0"/>
          <w:cantSplit w:val="0"/>
          <w:trHeight w:val="0" w:hRule="auto"/>
        </w:trPr>
        <w:tc>
          <w:tcPr>
            <w:tcW w:w="70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w:t>
            </w:r>
          </w:p>
        </w:tc>
        <w:tc>
          <w:tcPr>
            <w:tcW w:w="1932"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4</w:t>
            </w:r>
          </w:p>
        </w:tc>
        <w:tc>
          <w:tcPr>
            <w:tcW w:w="136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5</w:t>
            </w:r>
          </w:p>
        </w:tc>
        <w:tc>
          <w:tcPr>
            <w:tcW w:w="2412"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6</w:t>
            </w:r>
          </w:p>
        </w:tc>
      </w:tr>
      <w:tr>
        <w:trPr>
          <w:tblHeader w:val="0"/>
          <w:cantSplit w:val="0"/>
          <w:trHeight w:val="0" w:hRule="auto"/>
        </w:trPr>
        <w:tc>
          <w:tcPr>
            <w:tcW w:w="709" w:type="dxa"/>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outlineLvl w:val="3"/>
            </w:pPr>
            <w:r>
              <w:t>1</w:t>
            </w:r>
          </w:p>
        </w:tc>
        <w:tc>
          <w:tcPr>
            <w:tcW w:w="8937" w:type="dxa"/>
            <w:gridSpan w:val="5"/>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pPr>
            <w:r>
              <w:t>Объекты местного значения сельского поселения</w:t>
            </w:r>
          </w:p>
        </w:tc>
      </w:tr>
      <w:tr>
        <w:trPr>
          <w:tblHeader w:val="0"/>
          <w:cantSplit w:val="0"/>
          <w:trHeight w:val="0" w:hRule="auto"/>
        </w:trPr>
        <w:tc>
          <w:tcPr>
            <w:tcW w:w="709" w:type="dxa"/>
            <w:vMerge w:val="restart"/>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pPr>
            <w:r>
              <w:t>1.1</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Улично-дорожная сеть </w:t>
            </w:r>
            <w:hyperlink w:anchor="P284" w:history="1">
              <w:r>
                <w:rPr>
                  <w:color w:val="0000ff"/>
                </w:rPr>
                <w:t>&lt;*&gt;</w:t>
              </w:r>
            </w:hyperlink>
          </w:p>
        </w:tc>
        <w:tc>
          <w:tcPr>
            <w:tcW w:w="1932"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плотность сети, км/кв. км</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2,0</w:t>
            </w:r>
          </w:p>
        </w:tc>
        <w:tc>
          <w:tcPr>
            <w:tcW w:w="3773"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709"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8937" w:type="dxa"/>
            <w:gridSpan w:val="5"/>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spacing/>
              <w:jc w:val="both"/>
            </w:pPr>
            <w:bookmarkStart w:id="2" w:name="P284"/>
            <w:bookmarkEnd w:id="2"/>
            <w:r>
              <w:t xml:space="preserve">&lt;*&gt; В соответствии с </w:t>
            </w:r>
            <w:hyperlink r:id="rId11" w:history="1">
              <w:r>
                <w:rPr>
                  <w:color w:val="0000ff"/>
                </w:rPr>
                <w:t>СП 42.13330.2016</w:t>
              </w:r>
            </w:hyperlink>
            <w: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pPr>
              <w:pStyle w:val="para1"/>
              <w:spacing/>
              <w:jc w:val="both"/>
            </w:pPr>
            <w: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12" w:history="1">
              <w:r>
                <w:rPr>
                  <w:color w:val="0000ff"/>
                </w:rPr>
                <w:t>СП 396.1325800.2018</w:t>
              </w:r>
            </w:hyperlink>
            <w:r>
              <w:t xml:space="preserve"> (с последующими изменениями).</w:t>
            </w:r>
          </w:p>
        </w:tc>
      </w:tr>
      <w:tr>
        <w:trPr>
          <w:tblHeader w:val="0"/>
          <w:cantSplit w:val="0"/>
          <w:trHeight w:val="0" w:hRule="auto"/>
        </w:trPr>
        <w:tc>
          <w:tcPr>
            <w:tcW w:w="709"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1.2</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Остановки общественного поселкового транспорта </w:t>
            </w:r>
            <w:hyperlink w:anchor="P292" w:history="1">
              <w:r>
                <w:rPr>
                  <w:color w:val="0000ff"/>
                </w:rPr>
                <w:t>&lt;*&gt;</w:t>
              </w:r>
            </w:hyperlink>
          </w:p>
        </w:tc>
        <w:tc>
          <w:tcPr>
            <w:tcW w:w="1932"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остановочный пункт (количество)</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 на отрезок улицы протяженностью 600 м</w:t>
            </w:r>
          </w:p>
        </w:tc>
        <w:tc>
          <w:tcPr>
            <w:tcW w:w="3773"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709"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8937"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bookmarkStart w:id="3" w:name="P292"/>
            <w:bookmarkEnd w:id="3"/>
            <w:r>
              <w:t>&lt;*&gt; при наличии маршрутной сети общественного поселкового транспорта</w:t>
            </w:r>
          </w:p>
        </w:tc>
      </w:tr>
    </w:tbl>
    <w:p>
      <w:pPr>
        <w:pStyle w:val="para1"/>
        <w:spacing/>
        <w:jc w:val="both"/>
      </w:pPr>
      <w:r/>
    </w:p>
    <w:p>
      <w:pPr>
        <w:pStyle w:val="para3"/>
        <w:spacing/>
        <w:jc w:val="center"/>
        <w:outlineLvl w:val="2"/>
      </w:pPr>
      <w:bookmarkStart w:id="4" w:name="P295"/>
      <w:bookmarkEnd w:id="4"/>
      <w:r>
        <w:t>1.2. Объекты, обеспечивающие осуществление деятельности</w:t>
      </w:r>
    </w:p>
    <w:p>
      <w:pPr>
        <w:pStyle w:val="para3"/>
        <w:spacing/>
        <w:jc w:val="center"/>
      </w:pPr>
      <w:r>
        <w:t xml:space="preserve">органов власти </w:t>
      </w:r>
    </w:p>
    <w:p>
      <w:pPr>
        <w:pStyle w:val="para1"/>
        <w:spacing/>
        <w:jc w:val="both"/>
      </w:pPr>
      <w:r/>
    </w:p>
    <w:tbl>
      <w:tblPr>
        <w:tblStyle w:val="NormalTable"/>
        <w:name w:val="Таблица3"/>
        <w:tabOrder w:val="0"/>
        <w:jc w:val="left"/>
        <w:tblInd w:w="0" w:type="dxa"/>
        <w:tblW w:w="9585" w:type="dxa"/>
        <w:tblLook w:val="0000" w:firstRow="0" w:lastRow="0" w:firstColumn="0" w:lastColumn="0" w:noHBand="0" w:noVBand="0"/>
      </w:tblPr>
      <w:tblGrid>
        <w:gridCol w:w="723"/>
        <w:gridCol w:w="1928"/>
        <w:gridCol w:w="1928"/>
        <w:gridCol w:w="1304"/>
        <w:gridCol w:w="1701"/>
        <w:gridCol w:w="2001"/>
      </w:tblGrid>
      <w:tr>
        <w:trPr>
          <w:tblHeader w:val="0"/>
          <w:cantSplit w:val="0"/>
          <w:trHeight w:val="0" w:hRule="auto"/>
        </w:trPr>
        <w:tc>
          <w:tcPr>
            <w:tcW w:w="723"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N п/п</w:t>
            </w:r>
          </w:p>
        </w:tc>
        <w:tc>
          <w:tcPr>
            <w:tcW w:w="1928"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Наименование объекта</w:t>
            </w:r>
          </w:p>
        </w:tc>
        <w:tc>
          <w:tcPr>
            <w:tcW w:w="3232"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Расчетный и предельный показатели минимально допустимого уровня обеспеченности</w:t>
            </w:r>
          </w:p>
        </w:tc>
        <w:tc>
          <w:tcPr>
            <w:tcW w:w="3702"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Расчетный и предельный показатели максимально допустимого уровня территориальной доступности</w:t>
            </w:r>
          </w:p>
        </w:tc>
      </w:tr>
      <w:tr>
        <w:trPr>
          <w:tblHeader w:val="0"/>
          <w:cantSplit w:val="0"/>
          <w:trHeight w:val="0" w:hRule="auto"/>
        </w:trPr>
        <w:tc>
          <w:tcPr>
            <w:tcW w:w="72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28"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20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r>
      <w:tr>
        <w:trPr>
          <w:tblHeader w:val="0"/>
          <w:cantSplit w:val="0"/>
          <w:trHeight w:val="0" w:hRule="auto"/>
        </w:trPr>
        <w:tc>
          <w:tcPr>
            <w:tcW w:w="72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4</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5</w:t>
            </w:r>
          </w:p>
        </w:tc>
        <w:tc>
          <w:tcPr>
            <w:tcW w:w="20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6</w:t>
            </w:r>
          </w:p>
        </w:tc>
      </w:tr>
      <w:tr>
        <w:trPr>
          <w:tblHeader w:val="0"/>
          <w:cantSplit w:val="0"/>
          <w:trHeight w:val="0" w:hRule="auto"/>
        </w:trPr>
        <w:tc>
          <w:tcPr>
            <w:tcW w:w="72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outlineLvl w:val="3"/>
            </w:pPr>
            <w:r>
              <w:t>1</w:t>
            </w:r>
          </w:p>
        </w:tc>
        <w:tc>
          <w:tcPr>
            <w:tcW w:w="8862"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Объекты местного значения сельского поселения</w:t>
            </w:r>
          </w:p>
        </w:tc>
      </w:tr>
      <w:tr>
        <w:trPr>
          <w:tblHeader w:val="0"/>
          <w:cantSplit w:val="0"/>
          <w:trHeight w:val="0" w:hRule="auto"/>
        </w:trPr>
        <w:tc>
          <w:tcPr>
            <w:tcW w:w="723"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1.1</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Объект для размещения органов местного самоуправления муниципального образования</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площадь пола на 1 сотрудника, кв. м</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6 </w:t>
            </w:r>
            <w:hyperlink w:anchor="P371" w:history="1">
              <w:r>
                <w:rPr>
                  <w:color w:val="0000ff"/>
                </w:rPr>
                <w:t>&lt;*&gt;</w:t>
              </w:r>
            </w:hyperlink>
          </w:p>
        </w:tc>
        <w:tc>
          <w:tcPr>
            <w:tcW w:w="3702"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 и определяется заданием на проектирование</w:t>
            </w:r>
          </w:p>
        </w:tc>
      </w:tr>
      <w:tr>
        <w:trPr>
          <w:tblHeader w:val="0"/>
          <w:cantSplit w:val="0"/>
          <w:trHeight w:val="0" w:hRule="auto"/>
        </w:trPr>
        <w:tc>
          <w:tcPr>
            <w:tcW w:w="72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8862"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bookmarkStart w:id="5" w:name="P371"/>
            <w:bookmarkEnd w:id="5"/>
            <w:r>
              <w:t>&lt;*&gt; Без учета площади, предназначенной для размещения оргтехоснастки.</w:t>
            </w:r>
          </w:p>
        </w:tc>
      </w:tr>
    </w:tbl>
    <w:p>
      <w:pPr>
        <w:pStyle w:val="para1"/>
        <w:spacing/>
        <w:jc w:val="both"/>
      </w:pPr>
      <w:r/>
    </w:p>
    <w:p>
      <w:pPr>
        <w:pStyle w:val="para1"/>
        <w:spacing/>
        <w:jc w:val="both"/>
      </w:pPr>
      <w:bookmarkStart w:id="6" w:name="P373"/>
      <w:bookmarkEnd w:id="6"/>
      <w:r/>
    </w:p>
    <w:p>
      <w:pPr>
        <w:pStyle w:val="para3"/>
        <w:spacing/>
        <w:jc w:val="center"/>
        <w:outlineLvl w:val="2"/>
      </w:pPr>
      <w:bookmarkStart w:id="7" w:name="P479"/>
      <w:bookmarkEnd w:id="7"/>
      <w:r>
        <w:t>1.3. Объекты инженерной инфраструктуры</w:t>
      </w:r>
    </w:p>
    <w:p>
      <w:pPr>
        <w:pStyle w:val="para3"/>
        <w:spacing/>
        <w:jc w:val="center"/>
      </w:pPr>
      <w:r>
        <w:t xml:space="preserve"> местного значения, в том числе линейные и объекты</w:t>
      </w:r>
    </w:p>
    <w:p>
      <w:pPr>
        <w:pStyle w:val="para3"/>
        <w:spacing/>
        <w:jc w:val="center"/>
      </w:pPr>
      <w:r>
        <w:t>энергетики</w:t>
      </w:r>
    </w:p>
    <w:p>
      <w:pPr>
        <w:pStyle w:val="para1"/>
        <w:spacing/>
        <w:jc w:val="both"/>
      </w:pPr>
      <w:r/>
    </w:p>
    <w:tbl>
      <w:tblPr>
        <w:tblStyle w:val="NormalTable"/>
        <w:name w:val="Таблица4"/>
        <w:tabOrder w:val="0"/>
        <w:jc w:val="left"/>
        <w:tblInd w:w="0" w:type="dxa"/>
        <w:tblW w:w="9652" w:type="dxa"/>
        <w:tblLook w:val="0000" w:firstRow="0" w:lastRow="0" w:firstColumn="0" w:lastColumn="0" w:noHBand="0" w:noVBand="0"/>
      </w:tblPr>
      <w:tblGrid>
        <w:gridCol w:w="707"/>
        <w:gridCol w:w="2120"/>
        <w:gridCol w:w="1130"/>
        <w:gridCol w:w="1045"/>
        <w:gridCol w:w="423"/>
        <w:gridCol w:w="905"/>
        <w:gridCol w:w="766"/>
        <w:gridCol w:w="1384"/>
        <w:gridCol w:w="1172"/>
      </w:tblGrid>
      <w:tr>
        <w:trPr>
          <w:tblHeader w:val="0"/>
          <w:cantSplit w:val="0"/>
          <w:trHeight w:val="0" w:hRule="auto"/>
        </w:trPr>
        <w:tc>
          <w:tcPr>
            <w:tcW w:w="707"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N п/п</w:t>
            </w:r>
          </w:p>
        </w:tc>
        <w:tc>
          <w:tcPr>
            <w:tcW w:w="2120"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Наименование объекта</w:t>
            </w:r>
          </w:p>
        </w:tc>
        <w:tc>
          <w:tcPr>
            <w:tcW w:w="4269"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Расчетный и предельный показатели минимально допустимого уровня обеспеченности</w:t>
            </w:r>
          </w:p>
        </w:tc>
        <w:tc>
          <w:tcPr>
            <w:tcW w:w="255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Расчетный и предельный показатели максимально допустимого уровня территориальной доступности</w:t>
            </w: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120"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1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3139" w:type="dxa"/>
            <w:gridSpan w:val="4"/>
            <w:vAlign w:val="center"/>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c>
          <w:tcPr>
            <w:tcW w:w="1384" w:type="dxa"/>
            <w:vAlign w:val="center"/>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1172" w:type="dxa"/>
            <w:vAlign w:val="center"/>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r>
      <w:tr>
        <w:trPr>
          <w:tblHeader w:val="0"/>
          <w:cantSplit w:val="0"/>
          <w:trHeight w:val="0" w:hRule="auto"/>
        </w:trPr>
        <w:tc>
          <w:tcPr>
            <w:tcW w:w="70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212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w:t>
            </w:r>
          </w:p>
        </w:tc>
        <w:tc>
          <w:tcPr>
            <w:tcW w:w="11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w:t>
            </w:r>
          </w:p>
        </w:tc>
        <w:tc>
          <w:tcPr>
            <w:tcW w:w="3139" w:type="dxa"/>
            <w:gridSpan w:val="4"/>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4</w:t>
            </w:r>
          </w:p>
        </w:tc>
        <w:tc>
          <w:tcPr>
            <w:tcW w:w="138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5</w:t>
            </w:r>
          </w:p>
        </w:tc>
        <w:tc>
          <w:tcPr>
            <w:tcW w:w="1172"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6</w:t>
            </w:r>
          </w:p>
        </w:tc>
      </w:tr>
      <w:tr>
        <w:trPr>
          <w:tblHeader w:val="0"/>
          <w:cantSplit w:val="0"/>
          <w:trHeight w:val="0" w:hRule="auto"/>
        </w:trPr>
        <w:tc>
          <w:tcPr>
            <w:tcW w:w="70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outlineLvl w:val="3"/>
            </w:pPr>
            <w:r>
              <w:t>1</w:t>
            </w:r>
          </w:p>
        </w:tc>
        <w:tc>
          <w:tcPr>
            <w:tcW w:w="8945" w:type="dxa"/>
            <w:gridSpan w:val="8"/>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Объекты местного значения сельского поселения</w:t>
            </w:r>
          </w:p>
        </w:tc>
      </w:tr>
      <w:tr>
        <w:trPr>
          <w:tblHeader w:val="0"/>
          <w:cantSplit w:val="0"/>
          <w:trHeight w:val="0" w:hRule="auto"/>
        </w:trPr>
        <w:tc>
          <w:tcPr>
            <w:tcW w:w="70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1.1</w:t>
            </w:r>
          </w:p>
        </w:tc>
        <w:tc>
          <w:tcPr>
            <w:tcW w:w="8945" w:type="dxa"/>
            <w:gridSpan w:val="8"/>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Объекты в области электроснабжения</w:t>
            </w:r>
          </w:p>
        </w:tc>
      </w:tr>
      <w:tr>
        <w:trPr>
          <w:tblHeader w:val="0"/>
          <w:cantSplit w:val="0"/>
          <w:trHeight w:val="0" w:hRule="auto"/>
        </w:trPr>
        <w:tc>
          <w:tcPr>
            <w:tcW w:w="707" w:type="dxa"/>
            <w:vMerge w:val="restart"/>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pPr>
            <w:r>
              <w:t>1.1.1</w:t>
            </w:r>
          </w:p>
        </w:tc>
        <w:tc>
          <w:tcPr>
            <w:tcW w:w="2120" w:type="dxa"/>
            <w:vMerge w:val="restart"/>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pPr>
            <w:r>
              <w:t xml:space="preserve">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 проектный номинальный класс напряжения до 35 киловольт </w:t>
            </w:r>
            <w:hyperlink w:anchor="P616" w:history="1">
              <w:r>
                <w:rPr>
                  <w:color w:val="0000ff"/>
                </w:rPr>
                <w:t>&lt;1&gt;</w:t>
              </w:r>
            </w:hyperlink>
            <w:hyperlink w:anchor="P617" w:history="1">
              <w:r>
                <w:rPr>
                  <w:color w:val="0000ff"/>
                </w:rPr>
                <w:t>&lt;2&gt;</w:t>
              </w:r>
            </w:hyperlink>
          </w:p>
        </w:tc>
        <w:tc>
          <w:tcPr>
            <w:tcW w:w="1130" w:type="dxa"/>
            <w:vMerge w:val="restart"/>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spacing/>
              <w:jc w:val="center"/>
            </w:pPr>
            <w:r>
              <w:t>кВт*ч/год</w:t>
            </w:r>
          </w:p>
        </w:tc>
        <w:tc>
          <w:tcPr>
            <w:tcW w:w="3139" w:type="dxa"/>
            <w:gridSpan w:val="4"/>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по заданию на проектирование для населенных пунктов по укрупненным показателям электропотребления на 1 человека в зависимости от степени благоустройства и количества населения </w:t>
            </w:r>
            <w:hyperlink w:anchor="P618" w:history="1">
              <w:r>
                <w:rPr>
                  <w:color w:val="0000ff"/>
                </w:rPr>
                <w:t>&lt;*&gt;</w:t>
              </w:r>
            </w:hyperlink>
          </w:p>
        </w:tc>
        <w:tc>
          <w:tcPr>
            <w:tcW w:w="255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2120"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1130"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146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без стационарных электроплит, без кондиционеров:</w:t>
            </w:r>
          </w:p>
        </w:tc>
        <w:tc>
          <w:tcPr>
            <w:tcW w:w="1671"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950.</w:t>
            </w:r>
          </w:p>
        </w:tc>
        <w:tc>
          <w:tcPr>
            <w:tcW w:w="2556" w:type="dxa"/>
            <w:gridSpan w:val="2"/>
            <w:vMerge w:val="restart"/>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pPr>
            <w: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2120"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1130"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146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без стационарных электроплит, с кондиционерами:</w:t>
            </w:r>
          </w:p>
        </w:tc>
        <w:tc>
          <w:tcPr>
            <w:tcW w:w="1671"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1600.</w:t>
            </w:r>
          </w:p>
        </w:tc>
        <w:tc>
          <w:tcPr>
            <w:tcW w:w="2556" w:type="dxa"/>
            <w:gridSpan w:val="2"/>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2120"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1130"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146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со стационарными электроплитами, без кондиционеров:</w:t>
            </w:r>
          </w:p>
        </w:tc>
        <w:tc>
          <w:tcPr>
            <w:tcW w:w="1671"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1350.</w:t>
            </w:r>
          </w:p>
        </w:tc>
        <w:tc>
          <w:tcPr>
            <w:tcW w:w="2556" w:type="dxa"/>
            <w:gridSpan w:val="2"/>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2120"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1130"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1468" w:type="dxa"/>
            <w:gridSpan w:val="2"/>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spacing/>
              <w:jc w:val="center"/>
            </w:pPr>
            <w:r>
              <w:t>со стационарными электроплитами, с кондиционерами:</w:t>
            </w:r>
          </w:p>
        </w:tc>
        <w:tc>
          <w:tcPr>
            <w:tcW w:w="1671" w:type="dxa"/>
            <w:gridSpan w:val="2"/>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spacing/>
              <w:jc w:val="center"/>
            </w:pPr>
            <w:r>
              <w:t>1920.</w:t>
            </w:r>
          </w:p>
        </w:tc>
        <w:tc>
          <w:tcPr>
            <w:tcW w:w="2556" w:type="dxa"/>
            <w:gridSpan w:val="2"/>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r>
      <w:tr>
        <w:trPr>
          <w:tblHeader w:val="0"/>
          <w:cantSplit w:val="0"/>
          <w:trHeight w:val="0" w:hRule="auto"/>
        </w:trPr>
        <w:tc>
          <w:tcPr>
            <w:tcW w:w="707" w:type="dxa"/>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pPr>
            <w:r/>
          </w:p>
        </w:tc>
        <w:tc>
          <w:tcPr>
            <w:tcW w:w="8945" w:type="dxa"/>
            <w:gridSpan w:val="8"/>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spacing/>
              <w:jc w:val="both"/>
            </w:pPr>
            <w:bookmarkStart w:id="8" w:name="P616"/>
            <w:bookmarkEnd w:id="8"/>
            <w:r>
              <w:t>&lt;1&gt; К объектам электроснабжения местного значения муниципального района относятся объекты электроснабжения в границах муниципального района, предназначенные для решения вопросов местного значения на территории двух и более поселений.</w:t>
            </w:r>
          </w:p>
          <w:p>
            <w:pPr>
              <w:pStyle w:val="para1"/>
              <w:spacing/>
              <w:jc w:val="both"/>
            </w:pPr>
            <w:bookmarkStart w:id="9" w:name="P617"/>
            <w:bookmarkEnd w:id="9"/>
            <w:r>
              <w:t>&lt;2&gt; К объектам электроснабжения местного значения городского округа, городского и сельского поселений относятся объекты электроснабжения в границах поселения, городского округа.</w:t>
            </w:r>
          </w:p>
          <w:p>
            <w:pPr>
              <w:pStyle w:val="para1"/>
              <w:spacing/>
              <w:jc w:val="both"/>
            </w:pPr>
            <w:bookmarkStart w:id="10" w:name="P618"/>
            <w:bookmarkEnd w:id="10"/>
            <w:r>
              <w:t>&lt;*&gt; Используется для предварительных расчетов.</w:t>
            </w:r>
          </w:p>
        </w:tc>
      </w:tr>
      <w:tr>
        <w:trPr>
          <w:tblHeader w:val="0"/>
          <w:cantSplit w:val="0"/>
          <w:trHeight w:val="0" w:hRule="auto"/>
        </w:trPr>
        <w:tc>
          <w:tcPr>
            <w:tcW w:w="70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1.2</w:t>
            </w:r>
          </w:p>
        </w:tc>
        <w:tc>
          <w:tcPr>
            <w:tcW w:w="8945" w:type="dxa"/>
            <w:gridSpan w:val="8"/>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Объекты в области газоснабжения</w:t>
            </w:r>
          </w:p>
        </w:tc>
      </w:tr>
      <w:tr>
        <w:trPr>
          <w:tblHeader w:val="0"/>
          <w:cantSplit w:val="0"/>
          <w:trHeight w:val="0" w:hRule="auto"/>
        </w:trPr>
        <w:tc>
          <w:tcPr>
            <w:tcW w:w="707" w:type="dxa"/>
            <w:vMerge w:val="restart"/>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pPr>
            <w:r>
              <w:t>1.2.1</w:t>
            </w:r>
          </w:p>
        </w:tc>
        <w:tc>
          <w:tcPr>
            <w:tcW w:w="2120"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 xml:space="preserve">Объекты </w:t>
            </w:r>
            <w:hyperlink w:anchor="P642" w:history="1">
              <w:r>
                <w:rPr>
                  <w:color w:val="0000ff"/>
                </w:rPr>
                <w:t>&lt;1&gt;</w:t>
              </w:r>
            </w:hyperlink>
            <w:hyperlink w:anchor="P643" w:history="1">
              <w:r>
                <w:rPr>
                  <w:color w:val="0000ff"/>
                </w:rPr>
                <w:t>&lt;2&gt;</w:t>
              </w:r>
            </w:hyperlink>
            <w:r>
              <w:t>:</w:t>
            </w:r>
          </w:p>
          <w:p>
            <w:pPr>
              <w:pStyle w:val="para1"/>
              <w:spacing/>
              <w:jc w:val="both"/>
            </w:pPr>
            <w:r>
              <w:t>- газораспределительные сети (наружные газопроводы, а также сооружения и технические устройства на них):</w:t>
            </w:r>
          </w:p>
          <w:p>
            <w:pPr>
              <w:pStyle w:val="para1"/>
              <w:spacing/>
              <w:jc w:val="both"/>
            </w:pPr>
            <w:r>
              <w:t>- газопровод высокого давления 1 категории (природный газ), рабочее давление в газопроводе, МПа: свыше 0,6 до 1,2 включительно;</w:t>
            </w:r>
          </w:p>
          <w:p>
            <w:pPr>
              <w:pStyle w:val="para1"/>
              <w:spacing/>
              <w:jc w:val="both"/>
            </w:pPr>
            <w:r>
              <w:t>- газопровод высокого давления 1 категории (сжиженный углеводородный газ), рабочее давление в газопроводе, МПа: свыше 0,6 до 1,6 включительно;</w:t>
            </w:r>
          </w:p>
          <w:p>
            <w:pPr>
              <w:pStyle w:val="para1"/>
              <w:spacing/>
              <w:jc w:val="both"/>
            </w:pPr>
            <w:r>
              <w:t>- газопровод высокого давления 2 категории (природный и сжиженный углеводородный газ), рабочее давление в газопроводе, МПа: свыше 0,3 до 0,6 включительно;</w:t>
            </w:r>
          </w:p>
          <w:p>
            <w:pPr>
              <w:pStyle w:val="para1"/>
              <w:spacing/>
              <w:jc w:val="both"/>
            </w:pPr>
            <w:r>
              <w:t>- газопровод среднего давления (природный и сжиженный углеводородный газ), рабочее давление в газопроводе, МПа: свыше 0,005 до 0,3 включительно;</w:t>
            </w:r>
          </w:p>
          <w:p>
            <w:pPr>
              <w:pStyle w:val="para1"/>
              <w:spacing/>
              <w:jc w:val="both"/>
            </w:pPr>
            <w:r>
              <w:t>- газопровод низкого давления (природный и сжиженный углеводородный газ), рабочее давление в газопроводе, до 0,005 МПа включительно.</w:t>
            </w:r>
          </w:p>
        </w:tc>
        <w:tc>
          <w:tcPr>
            <w:tcW w:w="1130"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куб. м/год</w:t>
            </w:r>
          </w:p>
        </w:tc>
        <w:tc>
          <w:tcPr>
            <w:tcW w:w="3139" w:type="dxa"/>
            <w:gridSpan w:val="4"/>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по заданию на проектирование для населенных пунктов по укрупненным показателям потребления газа на 1 чел. в зависимости от степени благоустройства </w:t>
            </w:r>
            <w:hyperlink w:anchor="P644" w:history="1">
              <w:r>
                <w:rPr>
                  <w:color w:val="0000ff"/>
                </w:rPr>
                <w:t>&lt;*&gt;</w:t>
              </w:r>
            </w:hyperlink>
          </w:p>
        </w:tc>
        <w:tc>
          <w:tcPr>
            <w:tcW w:w="255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2120"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130"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46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с централизованным горячим водоснабжением</w:t>
            </w:r>
          </w:p>
        </w:tc>
        <w:tc>
          <w:tcPr>
            <w:tcW w:w="1671"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120 </w:t>
            </w:r>
            <w:hyperlink w:anchor="P645" w:history="1">
              <w:r>
                <w:rPr>
                  <w:color w:val="0000ff"/>
                </w:rPr>
                <w:t>&lt;**&gt;</w:t>
              </w:r>
            </w:hyperlink>
          </w:p>
        </w:tc>
        <w:tc>
          <w:tcPr>
            <w:tcW w:w="255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2120"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130"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46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с горячим водоснабжением от газовых водонагревателей</w:t>
            </w:r>
          </w:p>
        </w:tc>
        <w:tc>
          <w:tcPr>
            <w:tcW w:w="1671"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300 </w:t>
            </w:r>
            <w:hyperlink w:anchor="P645" w:history="1">
              <w:r>
                <w:rPr>
                  <w:color w:val="0000ff"/>
                </w:rPr>
                <w:t>&lt;**&gt;</w:t>
              </w:r>
            </w:hyperlink>
          </w:p>
        </w:tc>
        <w:tc>
          <w:tcPr>
            <w:tcW w:w="255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2120"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130"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46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с отсутствием всяких видов горячего водоснабжения</w:t>
            </w:r>
          </w:p>
        </w:tc>
        <w:tc>
          <w:tcPr>
            <w:tcW w:w="1671"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для городских населенных пунктов - 180; для сельских населенных пунктов - 220 </w:t>
            </w:r>
            <w:hyperlink w:anchor="P645" w:history="1">
              <w:r>
                <w:rPr>
                  <w:color w:val="0000ff"/>
                </w:rPr>
                <w:t>&lt;**&gt;</w:t>
              </w:r>
            </w:hyperlink>
          </w:p>
        </w:tc>
        <w:tc>
          <w:tcPr>
            <w:tcW w:w="255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8945" w:type="dxa"/>
            <w:gridSpan w:val="8"/>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spacing/>
              <w:jc w:val="both"/>
            </w:pPr>
            <w:r>
              <w:t>&lt;1&gt; К объектам газоснабжения местного значения муниципального района относятся объекты газоснабжения в границах муниципального района, предназначенные для решения вопросов местного значения на территории двух и более поселений.</w:t>
            </w:r>
          </w:p>
          <w:p>
            <w:pPr>
              <w:pStyle w:val="para1"/>
              <w:spacing/>
              <w:jc w:val="both"/>
            </w:pPr>
            <w:r>
              <w:t>&lt;2&gt; К объектам газоснабжения местного значения городского округа, городского и сельского поселений относятся объекты газоснабжения в границах поселения, городского округа.</w:t>
            </w:r>
          </w:p>
          <w:p>
            <w:pPr>
              <w:pStyle w:val="para1"/>
              <w:spacing/>
              <w:jc w:val="both"/>
            </w:pPr>
            <w:r>
              <w:t>&lt;*&gt; Используется для предварительных расчетов количества и мощности отдельных объектов системы газоснабжения.</w:t>
            </w:r>
          </w:p>
          <w:p>
            <w:pPr>
              <w:pStyle w:val="para1"/>
              <w:spacing/>
              <w:jc w:val="both"/>
            </w:pPr>
            <w:r>
              <w:t>&lt;**&gt; Укрупненные показатели потребления газа (при теплоте сгорания газа 34 МДж/куб. м (8000 ккал/м</w:t>
            </w:r>
            <w:r>
              <w:rPr>
                <w:vertAlign w:val="superscript"/>
              </w:rPr>
              <w:t>3</w:t>
            </w:r>
            <w:r>
              <w:t>)).</w:t>
            </w:r>
          </w:p>
        </w:tc>
      </w:tr>
      <w:tr>
        <w:trPr>
          <w:tblHeader w:val="0"/>
          <w:cantSplit w:val="0"/>
          <w:trHeight w:val="0" w:hRule="auto"/>
        </w:trPr>
        <w:tc>
          <w:tcPr>
            <w:tcW w:w="70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1.3</w:t>
            </w:r>
          </w:p>
        </w:tc>
        <w:tc>
          <w:tcPr>
            <w:tcW w:w="8945" w:type="dxa"/>
            <w:gridSpan w:val="8"/>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Объекты в области теплоснабжения</w:t>
            </w:r>
          </w:p>
        </w:tc>
      </w:tr>
      <w:tr>
        <w:trPr>
          <w:tblHeader w:val="0"/>
          <w:cantSplit w:val="0"/>
          <w:trHeight w:val="0" w:hRule="auto"/>
        </w:trPr>
        <w:tc>
          <w:tcPr>
            <w:tcW w:w="707" w:type="dxa"/>
            <w:vMerge w:val="restart"/>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spacing/>
              <w:jc w:val="both"/>
            </w:pPr>
            <w:r>
              <w:t>1.3.1</w:t>
            </w:r>
          </w:p>
        </w:tc>
        <w:tc>
          <w:tcPr>
            <w:tcW w:w="2120" w:type="dxa"/>
            <w:vMerge w:val="restart"/>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spacing/>
              <w:jc w:val="both"/>
            </w:pPr>
            <w:r>
              <w:t>Объекты теплоснабжения:</w:t>
            </w:r>
          </w:p>
          <w:p>
            <w:pPr>
              <w:pStyle w:val="para1"/>
              <w:spacing/>
              <w:jc w:val="both"/>
            </w:pPr>
            <w:r>
              <w:t>- источники тепловой энергии;</w:t>
            </w:r>
          </w:p>
          <w:p>
            <w:pPr>
              <w:pStyle w:val="para1"/>
              <w:spacing/>
              <w:jc w:val="both"/>
            </w:pPr>
            <w:r>
              <w:t>- тепловые сети, здания и сооружения тепловых сетей (в том числе насосные, центральные тепловые пункты, павильоны, камеры, дренажные устройства).</w:t>
            </w:r>
          </w:p>
        </w:tc>
        <w:tc>
          <w:tcPr>
            <w:tcW w:w="1130" w:type="dxa"/>
            <w:vMerge w:val="restart"/>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spacing/>
              <w:jc w:val="center"/>
            </w:pPr>
            <w:r>
              <w:t>Гкал/год</w:t>
            </w:r>
          </w:p>
        </w:tc>
        <w:tc>
          <w:tcPr>
            <w:tcW w:w="3139" w:type="dxa"/>
            <w:gridSpan w:val="4"/>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по заданию на проектирование для населенных пунктов по укрупненным показателям объемов теплопотребления на 1 чел., в зависимости от степени благоустройства </w:t>
            </w:r>
            <w:hyperlink w:anchor="P665" w:history="1">
              <w:r>
                <w:rPr>
                  <w:color w:val="0000ff"/>
                </w:rPr>
                <w:t>&lt;*&gt;</w:t>
              </w:r>
            </w:hyperlink>
          </w:p>
        </w:tc>
        <w:tc>
          <w:tcPr>
            <w:tcW w:w="255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2120"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1130"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1045"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при наличии в квартире газовой плиты и централизованного горячего водоснабжения при газоснабжении природным газом</w:t>
            </w:r>
          </w:p>
        </w:tc>
        <w:tc>
          <w:tcPr>
            <w:tcW w:w="132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76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2556" w:type="dxa"/>
            <w:gridSpan w:val="2"/>
            <w:vMerge w:val="restart"/>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2120"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1130"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1045" w:type="dxa"/>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spacing/>
              <w:jc w:val="center"/>
            </w:pPr>
            <w:r>
              <w:t>0,97</w:t>
            </w:r>
          </w:p>
        </w:tc>
        <w:tc>
          <w:tcPr>
            <w:tcW w:w="1328" w:type="dxa"/>
            <w:gridSpan w:val="2"/>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spacing/>
              <w:jc w:val="center"/>
            </w:pPr>
            <w:r>
              <w:t>2,4</w:t>
            </w:r>
          </w:p>
        </w:tc>
        <w:tc>
          <w:tcPr>
            <w:tcW w:w="766" w:type="dxa"/>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spacing/>
              <w:jc w:val="center"/>
            </w:pPr>
            <w:r>
              <w:t>1,43</w:t>
            </w:r>
          </w:p>
        </w:tc>
        <w:tc>
          <w:tcPr>
            <w:tcW w:w="2556" w:type="dxa"/>
            <w:gridSpan w:val="2"/>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r>
      <w:tr>
        <w:trPr>
          <w:tblHeader w:val="0"/>
          <w:cantSplit w:val="0"/>
          <w:trHeight w:val="0" w:hRule="auto"/>
        </w:trPr>
        <w:tc>
          <w:tcPr>
            <w:tcW w:w="70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c>
          <w:tcPr>
            <w:tcW w:w="8945" w:type="dxa"/>
            <w:gridSpan w:val="8"/>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&lt;*&gt;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w:t>
            </w:r>
          </w:p>
        </w:tc>
      </w:tr>
      <w:tr>
        <w:trPr>
          <w:tblHeader w:val="0"/>
          <w:cantSplit w:val="0"/>
          <w:trHeight w:val="0" w:hRule="auto"/>
        </w:trPr>
        <w:tc>
          <w:tcPr>
            <w:tcW w:w="70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1.4</w:t>
            </w:r>
          </w:p>
        </w:tc>
        <w:tc>
          <w:tcPr>
            <w:tcW w:w="8945" w:type="dxa"/>
            <w:gridSpan w:val="8"/>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 xml:space="preserve">Объекты в области водоснабжения </w:t>
            </w:r>
          </w:p>
        </w:tc>
      </w:tr>
      <w:tr>
        <w:trPr>
          <w:tblHeader w:val="0"/>
          <w:cantSplit w:val="0"/>
          <w:trHeight w:val="0" w:hRule="auto"/>
        </w:trPr>
        <w:tc>
          <w:tcPr>
            <w:tcW w:w="707" w:type="dxa"/>
            <w:vMerge w:val="restart"/>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pPr>
            <w:r>
              <w:t>1.4.1</w:t>
            </w:r>
          </w:p>
        </w:tc>
        <w:tc>
          <w:tcPr>
            <w:tcW w:w="2120"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Объекты водоснабжения:</w:t>
            </w:r>
          </w:p>
          <w:p>
            <w:pPr>
              <w:pStyle w:val="para1"/>
            </w:pPr>
            <w:r>
              <w:t>- водозабор;</w:t>
            </w:r>
          </w:p>
          <w:p>
            <w:pPr>
              <w:pStyle w:val="para1"/>
            </w:pPr>
            <w:r>
              <w:t>- водопроводные очистные сооружения;</w:t>
            </w:r>
          </w:p>
          <w:p>
            <w:pPr>
              <w:pStyle w:val="para1"/>
            </w:pPr>
            <w:r>
              <w:t>- насосная станция;</w:t>
            </w:r>
          </w:p>
          <w:p>
            <w:pPr>
              <w:pStyle w:val="para1"/>
            </w:pPr>
            <w:r>
              <w:t>- водонапорная башня;</w:t>
            </w:r>
          </w:p>
          <w:p>
            <w:pPr>
              <w:pStyle w:val="para1"/>
            </w:pPr>
            <w:r>
              <w:t>- резервуар;</w:t>
            </w:r>
          </w:p>
          <w:p>
            <w:pPr>
              <w:pStyle w:val="para1"/>
            </w:pPr>
            <w:r>
              <w:t>- артезианская скважина и иные объекты водоснабжения, обеспечивающие забор, водоподготовку, подачу питьевой воды абонентам.</w:t>
            </w:r>
          </w:p>
        </w:tc>
        <w:tc>
          <w:tcPr>
            <w:tcW w:w="1130"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л/сут.</w:t>
            </w:r>
          </w:p>
        </w:tc>
        <w:tc>
          <w:tcPr>
            <w:tcW w:w="3139" w:type="dxa"/>
            <w:gridSpan w:val="4"/>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w:t>
            </w:r>
            <w:hyperlink w:anchor="P685" w:history="1">
              <w:r>
                <w:rPr>
                  <w:color w:val="0000ff"/>
                </w:rPr>
                <w:t>&lt;*&gt;</w:t>
              </w:r>
            </w:hyperlink>
          </w:p>
        </w:tc>
        <w:tc>
          <w:tcPr>
            <w:tcW w:w="255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2120"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130"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46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застройка зданиями, оборудованными внутренним водопроводом и канализацией, с ванными и местными водонагревателями</w:t>
            </w:r>
          </w:p>
        </w:tc>
        <w:tc>
          <w:tcPr>
            <w:tcW w:w="1671"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то же, с централизованным горячим водоснабжением</w:t>
            </w:r>
          </w:p>
        </w:tc>
        <w:tc>
          <w:tcPr>
            <w:tcW w:w="255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2120"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130"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46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140</w:t>
            </w:r>
          </w:p>
        </w:tc>
        <w:tc>
          <w:tcPr>
            <w:tcW w:w="1671"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195</w:t>
            </w:r>
          </w:p>
        </w:tc>
        <w:tc>
          <w:tcPr>
            <w:tcW w:w="255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tc>
        <w:tc>
          <w:tcPr>
            <w:tcW w:w="8945" w:type="dxa"/>
            <w:gridSpan w:val="8"/>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spacing/>
              <w:jc w:val="both"/>
            </w:pPr>
            <w:r>
              <w:t>&lt;*&gt; Используется для предварительных расчетов количества и мощности отдельных объектов системы водоснабжения. Задачи развития системы водоснабжения решаются в схемах водоснабжения.</w:t>
            </w:r>
          </w:p>
        </w:tc>
      </w:tr>
      <w:tr>
        <w:trPr>
          <w:tblHeader w:val="0"/>
          <w:cantSplit w:val="0"/>
          <w:trHeight w:val="0" w:hRule="auto"/>
        </w:trPr>
        <w:tc>
          <w:tcPr>
            <w:tcW w:w="70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1.5</w:t>
            </w:r>
          </w:p>
        </w:tc>
        <w:tc>
          <w:tcPr>
            <w:tcW w:w="8945" w:type="dxa"/>
            <w:gridSpan w:val="8"/>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Объекты в области водоотведения (за исключением муниципального района)</w:t>
            </w:r>
          </w:p>
        </w:tc>
      </w:tr>
      <w:tr>
        <w:trPr>
          <w:tblHeader w:val="0"/>
          <w:cantSplit w:val="0"/>
          <w:trHeight w:val="0" w:hRule="auto"/>
        </w:trPr>
        <w:tc>
          <w:tcPr>
            <w:tcW w:w="707"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1.5.1</w:t>
            </w:r>
          </w:p>
        </w:tc>
        <w:tc>
          <w:tcPr>
            <w:tcW w:w="2120"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Объекты водоотведения:</w:t>
            </w:r>
          </w:p>
          <w:p>
            <w:pPr>
              <w:pStyle w:val="para1"/>
            </w:pPr>
            <w:r>
              <w:t>- очистные сооружения (КОС);</w:t>
            </w:r>
          </w:p>
          <w:p>
            <w:pPr>
              <w:pStyle w:val="para1"/>
            </w:pPr>
            <w:r>
              <w:t>- канализационная насосная станция (КНС) и иные объекты водоотведения, обеспечивающие прием, транспортировку и очистку сточных вод.</w:t>
            </w:r>
          </w:p>
        </w:tc>
        <w:tc>
          <w:tcPr>
            <w:tcW w:w="1130"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л/сут.</w:t>
            </w:r>
          </w:p>
        </w:tc>
        <w:tc>
          <w:tcPr>
            <w:tcW w:w="3139" w:type="dxa"/>
            <w:gridSpan w:val="4"/>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по заданию на проектирование для населенных пунктов по укрупненным показателям объемов водоотведения на 1 человека в зависимости от степени благоустройства </w:t>
            </w:r>
            <w:hyperlink w:anchor="P704" w:history="1">
              <w:r>
                <w:rPr>
                  <w:color w:val="0000ff"/>
                </w:rPr>
                <w:t>&lt;*&gt;</w:t>
              </w:r>
            </w:hyperlink>
          </w:p>
        </w:tc>
        <w:tc>
          <w:tcPr>
            <w:tcW w:w="255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120"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130"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46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застройка зданиями, оборудованными внутренним водопроводом и канализацией, с ванными и местными водонагревателями</w:t>
            </w:r>
          </w:p>
        </w:tc>
        <w:tc>
          <w:tcPr>
            <w:tcW w:w="1671"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то же, с централизованным горячим водоснабжением</w:t>
            </w:r>
          </w:p>
        </w:tc>
        <w:tc>
          <w:tcPr>
            <w:tcW w:w="255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12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c>
          <w:tcPr>
            <w:tcW w:w="11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c>
          <w:tcPr>
            <w:tcW w:w="146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140</w:t>
            </w:r>
          </w:p>
        </w:tc>
        <w:tc>
          <w:tcPr>
            <w:tcW w:w="1671"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195</w:t>
            </w:r>
          </w:p>
        </w:tc>
        <w:tc>
          <w:tcPr>
            <w:tcW w:w="255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r>
      <w:tr>
        <w:trPr>
          <w:tblHeader w:val="0"/>
          <w:cantSplit w:val="0"/>
          <w:trHeight w:val="0" w:hRule="auto"/>
        </w:trPr>
        <w:tc>
          <w:tcPr>
            <w:tcW w:w="707"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8945" w:type="dxa"/>
            <w:gridSpan w:val="8"/>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&lt;*&gt; Используется для предварительных расчетов количества и мощности отдельных объектов системы водоотведения. Задачи развития системы водоотведения решаются в схемах водоотведения.</w:t>
            </w:r>
          </w:p>
        </w:tc>
      </w:tr>
    </w:tbl>
    <w:p>
      <w:pPr>
        <w:pStyle w:val="para1"/>
        <w:spacing/>
        <w:jc w:val="both"/>
      </w:pPr>
      <w:r/>
    </w:p>
    <w:p>
      <w:pPr>
        <w:pStyle w:val="para3"/>
        <w:spacing/>
        <w:jc w:val="center"/>
        <w:outlineLvl w:val="2"/>
      </w:pPr>
      <w:bookmarkStart w:id="11" w:name="P707"/>
      <w:bookmarkEnd w:id="11"/>
      <w:r/>
      <w:bookmarkStart w:id="12" w:name="P879"/>
      <w:bookmarkEnd w:id="12"/>
      <w:r/>
      <w:bookmarkStart w:id="13" w:name="P1090"/>
      <w:bookmarkEnd w:id="13"/>
      <w:r>
        <w:t>1.4. Объекты в области культуры и досуга</w:t>
      </w:r>
    </w:p>
    <w:p>
      <w:pPr>
        <w:pStyle w:val="para1"/>
        <w:spacing/>
        <w:jc w:val="both"/>
      </w:pPr>
      <w:r/>
    </w:p>
    <w:tbl>
      <w:tblPr>
        <w:tblStyle w:val="NormalTable"/>
        <w:name w:val="Таблица5"/>
        <w:tabOrder w:val="0"/>
        <w:jc w:val="left"/>
        <w:tblInd w:w="0" w:type="dxa"/>
        <w:tblW w:w="9670" w:type="dxa"/>
        <w:tblLook w:val="0000" w:firstRow="0" w:lastRow="0" w:firstColumn="0" w:lastColumn="0" w:noHBand="0" w:noVBand="0"/>
      </w:tblPr>
      <w:tblGrid>
        <w:gridCol w:w="709"/>
        <w:gridCol w:w="1701"/>
        <w:gridCol w:w="1958"/>
        <w:gridCol w:w="964"/>
        <w:gridCol w:w="1997"/>
        <w:gridCol w:w="2341"/>
      </w:tblGrid>
      <w:tr>
        <w:trPr>
          <w:tblHeader w:val="0"/>
          <w:cantSplit w:val="0"/>
          <w:trHeight w:val="0" w:hRule="auto"/>
        </w:trPr>
        <w:tc>
          <w:tcPr>
            <w:tcW w:w="709"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N п/п</w:t>
            </w:r>
          </w:p>
        </w:tc>
        <w:tc>
          <w:tcPr>
            <w:tcW w:w="1701"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Наименование объекта</w:t>
            </w:r>
          </w:p>
        </w:tc>
        <w:tc>
          <w:tcPr>
            <w:tcW w:w="2922"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Расчетный и предельный показатели минимально допустимого уровня обеспеченности</w:t>
            </w:r>
          </w:p>
        </w:tc>
        <w:tc>
          <w:tcPr>
            <w:tcW w:w="433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Расчетный и предельный показатели максимально допустимого уровня территориальной доступности</w:t>
            </w:r>
          </w:p>
        </w:tc>
      </w:tr>
      <w:tr>
        <w:trPr>
          <w:tblHeader w:val="0"/>
          <w:cantSplit w:val="0"/>
          <w:trHeight w:val="0" w:hRule="auto"/>
        </w:trPr>
        <w:tc>
          <w:tcPr>
            <w:tcW w:w="709"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70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5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96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c>
          <w:tcPr>
            <w:tcW w:w="199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234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r>
      <w:tr>
        <w:trPr>
          <w:tblHeader w:val="0"/>
          <w:cantSplit w:val="0"/>
          <w:trHeight w:val="0" w:hRule="auto"/>
        </w:trPr>
        <w:tc>
          <w:tcPr>
            <w:tcW w:w="70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w:t>
            </w:r>
          </w:p>
        </w:tc>
        <w:tc>
          <w:tcPr>
            <w:tcW w:w="195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w:t>
            </w:r>
          </w:p>
        </w:tc>
        <w:tc>
          <w:tcPr>
            <w:tcW w:w="96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4</w:t>
            </w:r>
          </w:p>
        </w:tc>
        <w:tc>
          <w:tcPr>
            <w:tcW w:w="199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5</w:t>
            </w:r>
          </w:p>
        </w:tc>
        <w:tc>
          <w:tcPr>
            <w:tcW w:w="234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6</w:t>
            </w:r>
          </w:p>
        </w:tc>
      </w:tr>
      <w:tr>
        <w:trPr>
          <w:tblHeader w:val="0"/>
          <w:cantSplit w:val="0"/>
          <w:trHeight w:val="0" w:hRule="auto"/>
        </w:trPr>
        <w:tc>
          <w:tcPr>
            <w:tcW w:w="70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outlineLvl w:val="3"/>
            </w:pPr>
            <w:r>
              <w:t>1</w:t>
            </w:r>
          </w:p>
        </w:tc>
        <w:tc>
          <w:tcPr>
            <w:tcW w:w="8961"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Объекты местного значения сельского поселения</w:t>
            </w:r>
          </w:p>
        </w:tc>
      </w:tr>
      <w:tr>
        <w:trPr>
          <w:tblHeader w:val="0"/>
          <w:cantSplit w:val="0"/>
          <w:trHeight w:val="0" w:hRule="auto"/>
        </w:trPr>
        <w:tc>
          <w:tcPr>
            <w:tcW w:w="70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1.1</w:t>
            </w:r>
          </w:p>
        </w:tc>
        <w:tc>
          <w:tcPr>
            <w:tcW w:w="8961"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Библиотеки</w:t>
            </w:r>
          </w:p>
        </w:tc>
      </w:tr>
      <w:tr>
        <w:trPr>
          <w:tblHeader w:val="0"/>
          <w:cantSplit w:val="0"/>
          <w:trHeight w:val="0" w:hRule="auto"/>
        </w:trPr>
        <w:tc>
          <w:tcPr>
            <w:tcW w:w="70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1.1.1</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Общедоступная библиотека с детским отделением</w:t>
            </w:r>
          </w:p>
        </w:tc>
        <w:tc>
          <w:tcPr>
            <w:tcW w:w="195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(объект) на административный центр сельского поселения</w:t>
            </w:r>
          </w:p>
        </w:tc>
        <w:tc>
          <w:tcPr>
            <w:tcW w:w="96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997"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транспортная доступность, мин.</w:t>
            </w:r>
          </w:p>
        </w:tc>
        <w:tc>
          <w:tcPr>
            <w:tcW w:w="2341"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30</w:t>
            </w:r>
          </w:p>
        </w:tc>
      </w:tr>
      <w:tr>
        <w:trPr>
          <w:tblHeader w:val="0"/>
          <w:cantSplit w:val="0"/>
          <w:trHeight w:val="0" w:hRule="auto"/>
        </w:trPr>
        <w:tc>
          <w:tcPr>
            <w:tcW w:w="70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1.1.2</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Точка доступа к полнотекстовым информационным ресурсам</w:t>
            </w:r>
          </w:p>
        </w:tc>
        <w:tc>
          <w:tcPr>
            <w:tcW w:w="195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(объект) на административный центр сельского поселения</w:t>
            </w:r>
          </w:p>
        </w:tc>
        <w:tc>
          <w:tcPr>
            <w:tcW w:w="96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997"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34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r>
      <w:tr>
        <w:trPr>
          <w:tblHeader w:val="0"/>
          <w:cantSplit w:val="0"/>
          <w:trHeight w:val="0" w:hRule="auto"/>
        </w:trPr>
        <w:tc>
          <w:tcPr>
            <w:tcW w:w="70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1.1.3</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Филиал общедоступных библиотек с детским отделением</w:t>
            </w:r>
          </w:p>
        </w:tc>
        <w:tc>
          <w:tcPr>
            <w:tcW w:w="195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(объект)</w:t>
            </w:r>
          </w:p>
        </w:tc>
        <w:tc>
          <w:tcPr>
            <w:tcW w:w="96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 на 1 тыс. чел.</w:t>
            </w:r>
          </w:p>
        </w:tc>
        <w:tc>
          <w:tcPr>
            <w:tcW w:w="1997"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34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r>
      <w:tr>
        <w:trPr>
          <w:tblHeader w:val="0"/>
          <w:cantSplit w:val="0"/>
          <w:trHeight w:val="0" w:hRule="auto"/>
        </w:trPr>
        <w:tc>
          <w:tcPr>
            <w:tcW w:w="70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1.2</w:t>
            </w:r>
          </w:p>
        </w:tc>
        <w:tc>
          <w:tcPr>
            <w:tcW w:w="8961"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Учреждения культуры клубного типа</w:t>
            </w:r>
          </w:p>
        </w:tc>
      </w:tr>
      <w:tr>
        <w:trPr>
          <w:tblHeader w:val="0"/>
          <w:cantSplit w:val="0"/>
          <w:trHeight w:val="0" w:hRule="auto"/>
        </w:trPr>
        <w:tc>
          <w:tcPr>
            <w:tcW w:w="70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1.2.1</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Дом культуры</w:t>
            </w:r>
          </w:p>
        </w:tc>
        <w:tc>
          <w:tcPr>
            <w:tcW w:w="195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(объект) на административный центр сельского поселения</w:t>
            </w:r>
          </w:p>
        </w:tc>
        <w:tc>
          <w:tcPr>
            <w:tcW w:w="96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99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транспортная доступность, мин.</w:t>
            </w:r>
          </w:p>
        </w:tc>
        <w:tc>
          <w:tcPr>
            <w:tcW w:w="234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30</w:t>
            </w:r>
          </w:p>
        </w:tc>
      </w:tr>
      <w:tr>
        <w:trPr>
          <w:tblHeader w:val="0"/>
          <w:cantSplit w:val="0"/>
          <w:trHeight w:val="0" w:hRule="auto"/>
        </w:trPr>
        <w:tc>
          <w:tcPr>
            <w:tcW w:w="70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1.2.2</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Филиал сельского дома культуры</w:t>
            </w:r>
          </w:p>
        </w:tc>
        <w:tc>
          <w:tcPr>
            <w:tcW w:w="195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(объект)</w:t>
            </w:r>
          </w:p>
        </w:tc>
        <w:tc>
          <w:tcPr>
            <w:tcW w:w="96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 на 1 тыс. чел.</w:t>
            </w:r>
          </w:p>
        </w:tc>
        <w:tc>
          <w:tcPr>
            <w:tcW w:w="433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70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1.3</w:t>
            </w:r>
          </w:p>
        </w:tc>
        <w:tc>
          <w:tcPr>
            <w:tcW w:w="8961"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Кинозалы</w:t>
            </w:r>
          </w:p>
        </w:tc>
      </w:tr>
      <w:tr>
        <w:trPr>
          <w:tblHeader w:val="0"/>
          <w:cantSplit w:val="0"/>
          <w:trHeight w:val="0" w:hRule="auto"/>
        </w:trPr>
        <w:tc>
          <w:tcPr>
            <w:tcW w:w="70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1.3.1</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Кинозал</w:t>
            </w:r>
          </w:p>
        </w:tc>
        <w:tc>
          <w:tcPr>
            <w:tcW w:w="195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(объект)</w:t>
            </w:r>
          </w:p>
        </w:tc>
        <w:tc>
          <w:tcPr>
            <w:tcW w:w="96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 на 3 тыс. чел.</w:t>
            </w:r>
          </w:p>
        </w:tc>
        <w:tc>
          <w:tcPr>
            <w:tcW w:w="199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транспортная доступность, мин.</w:t>
            </w:r>
          </w:p>
        </w:tc>
        <w:tc>
          <w:tcPr>
            <w:tcW w:w="234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30</w:t>
            </w:r>
          </w:p>
        </w:tc>
      </w:tr>
    </w:tbl>
    <w:p>
      <w:pPr>
        <w:pStyle w:val="para1"/>
        <w:spacing/>
        <w:jc w:val="both"/>
      </w:pPr>
      <w:r/>
    </w:p>
    <w:p>
      <w:pPr>
        <w:pStyle w:val="para3"/>
        <w:spacing/>
        <w:jc w:val="center"/>
        <w:outlineLvl w:val="2"/>
      </w:pPr>
      <w:bookmarkStart w:id="14" w:name="P1391"/>
      <w:bookmarkEnd w:id="14"/>
      <w:r>
        <w:t>1.5. Объекты в области физической культуры и спорта</w:t>
      </w:r>
    </w:p>
    <w:p>
      <w:pPr>
        <w:pStyle w:val="para1"/>
        <w:spacing/>
        <w:jc w:val="both"/>
      </w:pPr>
      <w:r/>
    </w:p>
    <w:tbl>
      <w:tblPr>
        <w:tblStyle w:val="NormalTable"/>
        <w:name w:val="Таблица6"/>
        <w:tabOrder w:val="0"/>
        <w:jc w:val="left"/>
        <w:tblInd w:w="0" w:type="dxa"/>
        <w:tblW w:w="9705" w:type="dxa"/>
        <w:tblLook w:val="0000" w:firstRow="0" w:lastRow="0" w:firstColumn="0" w:lastColumn="0" w:noHBand="0" w:noVBand="0"/>
      </w:tblPr>
      <w:tblGrid>
        <w:gridCol w:w="638"/>
        <w:gridCol w:w="2324"/>
        <w:gridCol w:w="1835"/>
        <w:gridCol w:w="1010"/>
        <w:gridCol w:w="1977"/>
        <w:gridCol w:w="1921"/>
      </w:tblGrid>
      <w:tr>
        <w:trPr>
          <w:tblHeader w:val="0"/>
          <w:cantSplit w:val="0"/>
          <w:trHeight w:val="0" w:hRule="auto"/>
        </w:trPr>
        <w:tc>
          <w:tcPr>
            <w:tcW w:w="638"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N п/п</w:t>
            </w:r>
          </w:p>
        </w:tc>
        <w:tc>
          <w:tcPr>
            <w:tcW w:w="2324"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Наименование объекта</w:t>
            </w:r>
          </w:p>
        </w:tc>
        <w:tc>
          <w:tcPr>
            <w:tcW w:w="2845"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Расчетный и предельный показатели минимально допустимого уровня обеспеченности</w:t>
            </w:r>
          </w:p>
        </w:tc>
        <w:tc>
          <w:tcPr>
            <w:tcW w:w="389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Расчетный и предельный показатели максимально допустимого уровня территориальной доступности</w:t>
            </w:r>
          </w:p>
        </w:tc>
      </w:tr>
      <w:tr>
        <w:trPr>
          <w:tblHeader w:val="0"/>
          <w:cantSplit w:val="0"/>
          <w:trHeight w:val="0" w:hRule="auto"/>
        </w:trPr>
        <w:tc>
          <w:tcPr>
            <w:tcW w:w="638"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324"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835"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101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c>
          <w:tcPr>
            <w:tcW w:w="197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192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r>
      <w:tr>
        <w:trPr>
          <w:tblHeader w:val="0"/>
          <w:cantSplit w:val="0"/>
          <w:trHeight w:val="0" w:hRule="auto"/>
        </w:trPr>
        <w:tc>
          <w:tcPr>
            <w:tcW w:w="63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232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w:t>
            </w:r>
          </w:p>
        </w:tc>
        <w:tc>
          <w:tcPr>
            <w:tcW w:w="1835"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w:t>
            </w:r>
          </w:p>
        </w:tc>
        <w:tc>
          <w:tcPr>
            <w:tcW w:w="101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4</w:t>
            </w:r>
          </w:p>
        </w:tc>
        <w:tc>
          <w:tcPr>
            <w:tcW w:w="197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5</w:t>
            </w:r>
          </w:p>
        </w:tc>
        <w:tc>
          <w:tcPr>
            <w:tcW w:w="192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6</w:t>
            </w:r>
          </w:p>
        </w:tc>
      </w:tr>
      <w:tr>
        <w:trPr>
          <w:tblHeader w:val="0"/>
          <w:cantSplit w:val="0"/>
          <w:trHeight w:val="0" w:hRule="auto"/>
        </w:trPr>
        <w:tc>
          <w:tcPr>
            <w:tcW w:w="63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outlineLvl w:val="3"/>
            </w:pPr>
            <w:r>
              <w:t>1</w:t>
            </w:r>
          </w:p>
        </w:tc>
        <w:tc>
          <w:tcPr>
            <w:tcW w:w="9067"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Объекты местного значения сельского поселения</w:t>
            </w:r>
          </w:p>
        </w:tc>
      </w:tr>
      <w:tr>
        <w:trPr>
          <w:tblHeader w:val="0"/>
          <w:cantSplit w:val="0"/>
          <w:trHeight w:val="0" w:hRule="auto"/>
        </w:trPr>
        <w:tc>
          <w:tcPr>
            <w:tcW w:w="638"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1.1</w:t>
            </w:r>
          </w:p>
        </w:tc>
        <w:tc>
          <w:tcPr>
            <w:tcW w:w="232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Стадион с трибунами на 1500 мест и более</w:t>
            </w:r>
          </w:p>
        </w:tc>
        <w:tc>
          <w:tcPr>
            <w:tcW w:w="2845"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по заданию на проектирование </w:t>
            </w:r>
            <w:hyperlink w:anchor="P1591" w:history="1">
              <w:r>
                <w:rPr>
                  <w:color w:val="0000ff"/>
                </w:rPr>
                <w:t>&lt;*&gt;</w:t>
              </w:r>
            </w:hyperlink>
          </w:p>
        </w:tc>
        <w:tc>
          <w:tcPr>
            <w:tcW w:w="197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транспортная доступность, мин.</w:t>
            </w:r>
          </w:p>
        </w:tc>
        <w:tc>
          <w:tcPr>
            <w:tcW w:w="192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30</w:t>
            </w:r>
          </w:p>
        </w:tc>
      </w:tr>
      <w:tr>
        <w:trPr>
          <w:tblHeader w:val="0"/>
          <w:cantSplit w:val="0"/>
          <w:trHeight w:val="0" w:hRule="auto"/>
        </w:trPr>
        <w:tc>
          <w:tcPr>
            <w:tcW w:w="638"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9067"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trPr>
          <w:tblHeader w:val="0"/>
          <w:cantSplit w:val="0"/>
          <w:trHeight w:val="0" w:hRule="auto"/>
        </w:trPr>
        <w:tc>
          <w:tcPr>
            <w:tcW w:w="63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1.2</w:t>
            </w:r>
          </w:p>
        </w:tc>
        <w:tc>
          <w:tcPr>
            <w:tcW w:w="232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Плоскостное спортивное сооружение (в том числе спортивные (игровые) площадки; спортивные поля, включая футбольные поля)</w:t>
            </w:r>
          </w:p>
        </w:tc>
        <w:tc>
          <w:tcPr>
            <w:tcW w:w="1835"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общая площадь на 1000 человек, тыс. кв. м</w:t>
            </w:r>
          </w:p>
        </w:tc>
        <w:tc>
          <w:tcPr>
            <w:tcW w:w="101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1,95</w:t>
            </w:r>
          </w:p>
        </w:tc>
        <w:tc>
          <w:tcPr>
            <w:tcW w:w="197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транспортная доступность, мин.</w:t>
            </w:r>
          </w:p>
        </w:tc>
        <w:tc>
          <w:tcPr>
            <w:tcW w:w="192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30</w:t>
            </w:r>
          </w:p>
        </w:tc>
      </w:tr>
      <w:tr>
        <w:trPr>
          <w:tblHeader w:val="0"/>
          <w:cantSplit w:val="0"/>
          <w:trHeight w:val="0" w:hRule="auto"/>
        </w:trPr>
        <w:tc>
          <w:tcPr>
            <w:tcW w:w="63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c>
          <w:tcPr>
            <w:tcW w:w="9067"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trPr>
          <w:tblHeader w:val="0"/>
          <w:cantSplit w:val="0"/>
          <w:trHeight w:val="0" w:hRule="auto"/>
        </w:trPr>
        <w:tc>
          <w:tcPr>
            <w:tcW w:w="638"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1.3</w:t>
            </w:r>
          </w:p>
        </w:tc>
        <w:tc>
          <w:tcPr>
            <w:tcW w:w="232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Спортивный зал</w:t>
            </w:r>
          </w:p>
        </w:tc>
        <w:tc>
          <w:tcPr>
            <w:tcW w:w="1835"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площадь пола на 1000 человек, кв. м</w:t>
            </w:r>
          </w:p>
        </w:tc>
        <w:tc>
          <w:tcPr>
            <w:tcW w:w="101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60</w:t>
            </w:r>
          </w:p>
        </w:tc>
        <w:tc>
          <w:tcPr>
            <w:tcW w:w="197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транспортная доступность, мин.</w:t>
            </w:r>
          </w:p>
        </w:tc>
        <w:tc>
          <w:tcPr>
            <w:tcW w:w="192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30</w:t>
            </w:r>
          </w:p>
        </w:tc>
      </w:tr>
      <w:tr>
        <w:trPr>
          <w:tblHeader w:val="0"/>
          <w:cantSplit w:val="0"/>
          <w:trHeight w:val="0" w:hRule="auto"/>
        </w:trPr>
        <w:tc>
          <w:tcPr>
            <w:tcW w:w="638"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9067"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Рекомендуется размещать на территории населенного пункта с численностью более 500 человек.</w:t>
            </w:r>
          </w:p>
        </w:tc>
      </w:tr>
      <w:tr>
        <w:trPr>
          <w:tblHeader w:val="0"/>
          <w:cantSplit w:val="0"/>
          <w:trHeight w:val="0" w:hRule="auto"/>
        </w:trPr>
        <w:tc>
          <w:tcPr>
            <w:tcW w:w="63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1.4</w:t>
            </w:r>
          </w:p>
        </w:tc>
        <w:tc>
          <w:tcPr>
            <w:tcW w:w="232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Объекты городской и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по заданию на проектирование</w:t>
            </w:r>
          </w:p>
        </w:tc>
        <w:tc>
          <w:tcPr>
            <w:tcW w:w="1977"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транспортная доступность, мин.</w:t>
            </w:r>
          </w:p>
        </w:tc>
        <w:tc>
          <w:tcPr>
            <w:tcW w:w="192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30</w:t>
            </w:r>
          </w:p>
        </w:tc>
      </w:tr>
    </w:tbl>
    <w:p>
      <w:pPr>
        <w:pStyle w:val="para1"/>
        <w:spacing/>
        <w:jc w:val="both"/>
      </w:pPr>
      <w:r/>
    </w:p>
    <w:p>
      <w:pPr>
        <w:pStyle w:val="para1"/>
        <w:ind w:firstLine="540"/>
        <w:spacing/>
        <w:jc w:val="both"/>
      </w:pPr>
      <w:r>
        <w:t>Примечание:</w:t>
      </w:r>
    </w:p>
    <w:p>
      <w:pPr>
        <w:pStyle w:val="para1"/>
        <w:ind w:firstLine="540"/>
        <w:spacing/>
        <w:jc w:val="both"/>
      </w:pPr>
      <w:r>
        <w:t xml:space="preserve">Уровень обеспеченности населения объектами спорта определяется исходя из процентного соотношения величины пропускной способности существующих спортивных сооружений к величине необходимой (нормативной) пропускной способности спортивных сооружений с учетом положений </w:t>
      </w:r>
      <w:hyperlink r:id="rId13" w:history="1">
        <w:r>
          <w:rPr>
            <w:color w:val="0000ff"/>
          </w:rPr>
          <w:t>приказа</w:t>
        </w:r>
      </w:hyperlink>
      <w:r>
        <w:t xml:space="preserve"> Минспорта России от 21.03.2018 N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(с последующими изменениями).</w:t>
      </w:r>
    </w:p>
    <w:p>
      <w:pPr>
        <w:pStyle w:val="para1"/>
        <w:ind w:firstLine="540"/>
        <w:spacing/>
        <w:jc w:val="both"/>
      </w:pPr>
      <w:r>
        <w:t xml:space="preserve">При принятии органами исполнительной власти Пензенской области (муниципальными образованиями Пензенской области) решений о видах создаваемых объектов необходимо учитывать положения </w:t>
      </w:r>
      <w:hyperlink r:id="rId13" w:history="1">
        <w:r>
          <w:rPr>
            <w:color w:val="0000ff"/>
          </w:rPr>
          <w:t>приказа</w:t>
        </w:r>
      </w:hyperlink>
      <w:r>
        <w:t xml:space="preserve"> Минспорта России от 21.03.2018 N 244 (с последующими изменениями).</w:t>
      </w:r>
    </w:p>
    <w:p>
      <w:pPr>
        <w:pStyle w:val="para1"/>
        <w:ind w:firstLine="540"/>
        <w:spacing/>
        <w:jc w:val="both"/>
      </w:pPr>
      <w:r>
        <w:t>Физкультурно-спортивные сооружения сети общего пользования следует, как правило, объединять со спортивными объектами образовательных организаций, организаций (учреждений) досуга и культуры с возможным сокращением территории.</w:t>
      </w:r>
    </w:p>
    <w:p>
      <w:pPr>
        <w:pStyle w:val="para1"/>
        <w:spacing/>
        <w:jc w:val="both"/>
      </w:pPr>
      <w:r/>
    </w:p>
    <w:p>
      <w:pPr>
        <w:pStyle w:val="para1"/>
        <w:spacing/>
        <w:jc w:val="both"/>
      </w:pPr>
      <w:bookmarkStart w:id="15" w:name="P1618"/>
      <w:bookmarkEnd w:id="15"/>
      <w:r/>
    </w:p>
    <w:p>
      <w:pPr>
        <w:pStyle w:val="para3"/>
        <w:spacing/>
        <w:jc w:val="center"/>
        <w:outlineLvl w:val="2"/>
      </w:pPr>
      <w:bookmarkStart w:id="16" w:name="P1822"/>
      <w:bookmarkEnd w:id="16"/>
      <w:r>
        <w:t>1.6. Объекты в области ритуальных услуг (места погребения)</w:t>
      </w:r>
    </w:p>
    <w:p>
      <w:pPr>
        <w:pStyle w:val="para1"/>
        <w:spacing/>
        <w:jc w:val="both"/>
      </w:pPr>
      <w:r/>
    </w:p>
    <w:tbl>
      <w:tblPr>
        <w:tblStyle w:val="NormalTable"/>
        <w:name w:val="Таблица7"/>
        <w:tabOrder w:val="0"/>
        <w:jc w:val="left"/>
        <w:tblInd w:w="0" w:type="dxa"/>
        <w:tblW w:w="9762" w:type="dxa"/>
        <w:tblLook w:val="0000" w:firstRow="0" w:lastRow="0" w:firstColumn="0" w:lastColumn="0" w:noHBand="0" w:noVBand="0"/>
      </w:tblPr>
      <w:tblGrid>
        <w:gridCol w:w="762"/>
        <w:gridCol w:w="2268"/>
        <w:gridCol w:w="1815"/>
        <w:gridCol w:w="1635"/>
        <w:gridCol w:w="1410"/>
        <w:gridCol w:w="1872"/>
      </w:tblGrid>
      <w:tr>
        <w:trPr>
          <w:tblHeader w:val="0"/>
          <w:cantSplit w:val="0"/>
          <w:trHeight w:val="0" w:hRule="auto"/>
        </w:trPr>
        <w:tc>
          <w:tcPr>
            <w:tcW w:w="762"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N п/п</w:t>
            </w:r>
          </w:p>
        </w:tc>
        <w:tc>
          <w:tcPr>
            <w:tcW w:w="2268"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Наименование объекта</w:t>
            </w:r>
          </w:p>
        </w:tc>
        <w:tc>
          <w:tcPr>
            <w:tcW w:w="3450"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Предельные показатели минимально допустимого уровня обеспеченности</w:t>
            </w:r>
          </w:p>
        </w:tc>
        <w:tc>
          <w:tcPr>
            <w:tcW w:w="3282"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Предельные показатели максимально допустимого уровня территориальной доступности</w:t>
            </w:r>
          </w:p>
        </w:tc>
      </w:tr>
      <w:tr>
        <w:trPr>
          <w:tblHeader w:val="0"/>
          <w:cantSplit w:val="0"/>
          <w:trHeight w:val="0" w:hRule="auto"/>
        </w:trPr>
        <w:tc>
          <w:tcPr>
            <w:tcW w:w="762"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68"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815"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1635"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c>
          <w:tcPr>
            <w:tcW w:w="141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1872"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r>
      <w:tr>
        <w:trPr>
          <w:tblHeader w:val="0"/>
          <w:cantSplit w:val="0"/>
          <w:trHeight w:val="0" w:hRule="auto"/>
        </w:trPr>
        <w:tc>
          <w:tcPr>
            <w:tcW w:w="762"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226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w:t>
            </w:r>
          </w:p>
        </w:tc>
        <w:tc>
          <w:tcPr>
            <w:tcW w:w="1815"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w:t>
            </w:r>
          </w:p>
        </w:tc>
        <w:tc>
          <w:tcPr>
            <w:tcW w:w="1635"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4</w:t>
            </w:r>
          </w:p>
        </w:tc>
        <w:tc>
          <w:tcPr>
            <w:tcW w:w="141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5</w:t>
            </w:r>
          </w:p>
        </w:tc>
        <w:tc>
          <w:tcPr>
            <w:tcW w:w="1872"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6</w:t>
            </w:r>
          </w:p>
        </w:tc>
      </w:tr>
      <w:tr>
        <w:trPr>
          <w:tblHeader w:val="0"/>
          <w:cantSplit w:val="0"/>
          <w:trHeight w:val="0" w:hRule="auto"/>
        </w:trPr>
        <w:tc>
          <w:tcPr>
            <w:tcW w:w="762"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outlineLvl w:val="3"/>
            </w:pPr>
            <w:r>
              <w:t>1</w:t>
            </w:r>
          </w:p>
        </w:tc>
        <w:tc>
          <w:tcPr>
            <w:tcW w:w="9000"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Объекты местного значения сельского поселения</w:t>
            </w:r>
          </w:p>
        </w:tc>
      </w:tr>
      <w:tr>
        <w:trPr>
          <w:tblHeader w:val="0"/>
          <w:cantSplit w:val="0"/>
          <w:trHeight w:val="0" w:hRule="auto"/>
        </w:trPr>
        <w:tc>
          <w:tcPr>
            <w:tcW w:w="762"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1.1</w:t>
            </w:r>
          </w:p>
        </w:tc>
        <w:tc>
          <w:tcPr>
            <w:tcW w:w="9000"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Объекты мест погребения</w:t>
            </w:r>
          </w:p>
        </w:tc>
      </w:tr>
      <w:tr>
        <w:trPr>
          <w:tblHeader w:val="0"/>
          <w:cantSplit w:val="0"/>
          <w:trHeight w:val="0" w:hRule="auto"/>
        </w:trPr>
        <w:tc>
          <w:tcPr>
            <w:tcW w:w="762"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1.1.1</w:t>
            </w:r>
          </w:p>
        </w:tc>
        <w:tc>
          <w:tcPr>
            <w:tcW w:w="226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Кладбище смешанного или традиционного захоронения</w:t>
            </w:r>
          </w:p>
        </w:tc>
        <w:tc>
          <w:tcPr>
            <w:tcW w:w="1815"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площадь территории, га</w:t>
            </w:r>
          </w:p>
        </w:tc>
        <w:tc>
          <w:tcPr>
            <w:tcW w:w="1635"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0,24 на 1000 чел. </w:t>
            </w:r>
            <w:hyperlink w:anchor="P1861" w:history="1">
              <w:r>
                <w:rPr>
                  <w:color w:val="0000ff"/>
                </w:rPr>
                <w:t>&lt;*&gt;</w:t>
              </w:r>
            </w:hyperlink>
          </w:p>
        </w:tc>
        <w:tc>
          <w:tcPr>
            <w:tcW w:w="3282"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 и определяется заданием на проектирование</w:t>
            </w:r>
          </w:p>
        </w:tc>
      </w:tr>
      <w:tr>
        <w:trPr>
          <w:tblHeader w:val="0"/>
          <w:cantSplit w:val="0"/>
          <w:trHeight w:val="0" w:hRule="auto"/>
        </w:trPr>
        <w:tc>
          <w:tcPr>
            <w:tcW w:w="762"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9000"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&lt;*&gt; Размер земельного участка для кладбища не может превышать 40 га.</w:t>
            </w:r>
          </w:p>
        </w:tc>
      </w:tr>
      <w:tr>
        <w:trPr>
          <w:tblHeader w:val="0"/>
          <w:cantSplit w:val="0"/>
          <w:trHeight w:val="0" w:hRule="auto"/>
        </w:trPr>
        <w:tc>
          <w:tcPr>
            <w:tcW w:w="762"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1.1.2</w:t>
            </w:r>
          </w:p>
        </w:tc>
        <w:tc>
          <w:tcPr>
            <w:tcW w:w="226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Кладбище урновых захоронений после кремации</w:t>
            </w:r>
          </w:p>
        </w:tc>
        <w:tc>
          <w:tcPr>
            <w:tcW w:w="1815"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площадь территории, га</w:t>
            </w:r>
          </w:p>
        </w:tc>
        <w:tc>
          <w:tcPr>
            <w:tcW w:w="1635"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0,02 на 1000 чел.</w:t>
            </w:r>
          </w:p>
        </w:tc>
        <w:tc>
          <w:tcPr>
            <w:tcW w:w="3282"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 и определяется заданием на проектирование</w:t>
            </w:r>
          </w:p>
        </w:tc>
      </w:tr>
      <w:tr>
        <w:trPr>
          <w:tblHeader w:val="0"/>
          <w:cantSplit w:val="0"/>
          <w:trHeight w:val="0" w:hRule="auto"/>
        </w:trPr>
        <w:tc>
          <w:tcPr>
            <w:tcW w:w="762"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1.1.3</w:t>
            </w:r>
          </w:p>
        </w:tc>
        <w:tc>
          <w:tcPr>
            <w:tcW w:w="226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Крематорий</w:t>
            </w:r>
          </w:p>
        </w:tc>
        <w:tc>
          <w:tcPr>
            <w:tcW w:w="3450"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по заданию на проектирование</w:t>
            </w:r>
          </w:p>
        </w:tc>
        <w:tc>
          <w:tcPr>
            <w:tcW w:w="3282"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 и определяется заданием на проектирование</w:t>
            </w:r>
          </w:p>
        </w:tc>
      </w:tr>
      <w:tr>
        <w:trPr>
          <w:tblHeader w:val="0"/>
          <w:cantSplit w:val="0"/>
          <w:trHeight w:val="0" w:hRule="auto"/>
        </w:trPr>
        <w:tc>
          <w:tcPr>
            <w:tcW w:w="762"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9000"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 xml:space="preserve">Примечание исключено. - </w:t>
            </w:r>
            <w:hyperlink r:id="rId14" w:history="1">
              <w:r>
                <w:rPr>
                  <w:color w:val="0000ff"/>
                </w:rPr>
                <w:t>Постановление</w:t>
              </w:r>
            </w:hyperlink>
            <w:r>
              <w:t xml:space="preserve"> Правительства Пензенской обл. от 13.01.2021 N 7-пП</w:t>
            </w:r>
          </w:p>
        </w:tc>
      </w:tr>
    </w:tbl>
    <w:p>
      <w:pPr>
        <w:pStyle w:val="para1"/>
        <w:spacing/>
        <w:jc w:val="both"/>
      </w:pPr>
      <w:r/>
    </w:p>
    <w:p>
      <w:pPr>
        <w:pStyle w:val="para1"/>
        <w:ind w:firstLine="540"/>
        <w:spacing/>
        <w:jc w:val="both"/>
      </w:pPr>
      <w:r>
        <w:t>Примечание:</w:t>
      </w:r>
    </w:p>
    <w:p>
      <w:pPr>
        <w:pStyle w:val="para1"/>
        <w:ind w:firstLine="540"/>
        <w:spacing/>
        <w:jc w:val="both"/>
      </w:pPr>
      <w:r>
        <w:t>Размеры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p>
      <w:pPr>
        <w:pStyle w:val="para1"/>
        <w:spacing/>
        <w:jc w:val="both"/>
      </w:pPr>
      <w:r/>
    </w:p>
    <w:p>
      <w:pPr>
        <w:pStyle w:val="para3"/>
        <w:spacing/>
        <w:jc w:val="center"/>
        <w:outlineLvl w:val="2"/>
      </w:pPr>
      <w:bookmarkStart w:id="17" w:name="P1877"/>
      <w:bookmarkEnd w:id="17"/>
      <w:r>
        <w:t>1.7. Объекты в области благоустройства</w:t>
      </w:r>
    </w:p>
    <w:p>
      <w:pPr>
        <w:pStyle w:val="para1"/>
        <w:spacing/>
        <w:jc w:val="both"/>
      </w:pPr>
      <w:r/>
    </w:p>
    <w:tbl>
      <w:tblPr>
        <w:tblStyle w:val="NormalTable"/>
        <w:name w:val="Таблица8"/>
        <w:tabOrder w:val="0"/>
        <w:jc w:val="left"/>
        <w:tblInd w:w="0" w:type="dxa"/>
        <w:tblW w:w="9794" w:type="dxa"/>
        <w:tblLook w:val="0000" w:firstRow="0" w:lastRow="0" w:firstColumn="0" w:lastColumn="0" w:noHBand="0" w:noVBand="0"/>
      </w:tblPr>
      <w:tblGrid>
        <w:gridCol w:w="816"/>
        <w:gridCol w:w="2201"/>
        <w:gridCol w:w="1723"/>
        <w:gridCol w:w="518"/>
        <w:gridCol w:w="758"/>
        <w:gridCol w:w="1649"/>
        <w:gridCol w:w="2129"/>
      </w:tblGrid>
      <w:tr>
        <w:trPr>
          <w:tblHeader w:val="0"/>
          <w:cantSplit w:val="0"/>
          <w:trHeight w:val="0" w:hRule="auto"/>
        </w:trPr>
        <w:tc>
          <w:tcPr>
            <w:tcW w:w="816"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N</w:t>
            </w:r>
          </w:p>
          <w:p>
            <w:pPr>
              <w:pStyle w:val="para1"/>
              <w:spacing/>
              <w:jc w:val="center"/>
            </w:pPr>
            <w:r>
              <w:t>п/п</w:t>
            </w:r>
          </w:p>
        </w:tc>
        <w:tc>
          <w:tcPr>
            <w:tcW w:w="2201"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Наименование объекта</w:t>
            </w:r>
          </w:p>
        </w:tc>
        <w:tc>
          <w:tcPr>
            <w:tcW w:w="2999" w:type="dxa"/>
            <w:gridSpan w:val="3"/>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Предельные показатели минимально допустимого уровня обеспеченности</w:t>
            </w:r>
          </w:p>
        </w:tc>
        <w:tc>
          <w:tcPr>
            <w:tcW w:w="377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Предельные показатели максимально допустимого уровня территориальной доступности</w:t>
            </w:r>
          </w:p>
        </w:tc>
      </w:tr>
      <w:tr>
        <w:trPr>
          <w:tblHeader w:val="0"/>
          <w:cantSplit w:val="0"/>
          <w:trHeight w:val="0" w:hRule="auto"/>
        </w:trPr>
        <w:tc>
          <w:tcPr>
            <w:tcW w:w="816"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0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72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127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c>
          <w:tcPr>
            <w:tcW w:w="164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212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r>
      <w:tr>
        <w:trPr>
          <w:tblHeader w:val="0"/>
          <w:cantSplit w:val="0"/>
          <w:trHeight w:val="0" w:hRule="auto"/>
        </w:trPr>
        <w:tc>
          <w:tcPr>
            <w:tcW w:w="81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22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w:t>
            </w:r>
          </w:p>
        </w:tc>
        <w:tc>
          <w:tcPr>
            <w:tcW w:w="172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w:t>
            </w:r>
          </w:p>
        </w:tc>
        <w:tc>
          <w:tcPr>
            <w:tcW w:w="127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4</w:t>
            </w:r>
          </w:p>
        </w:tc>
        <w:tc>
          <w:tcPr>
            <w:tcW w:w="164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5</w:t>
            </w:r>
          </w:p>
        </w:tc>
        <w:tc>
          <w:tcPr>
            <w:tcW w:w="212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6</w:t>
            </w:r>
          </w:p>
        </w:tc>
      </w:tr>
      <w:tr>
        <w:trPr>
          <w:tblHeader w:val="0"/>
          <w:cantSplit w:val="0"/>
          <w:trHeight w:val="0" w:hRule="auto"/>
        </w:trPr>
        <w:tc>
          <w:tcPr>
            <w:tcW w:w="81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w:t>
            </w:r>
          </w:p>
        </w:tc>
        <w:tc>
          <w:tcPr>
            <w:tcW w:w="8978" w:type="dxa"/>
            <w:gridSpan w:val="6"/>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 xml:space="preserve">Объекты местного значения городского и сельского поселений </w:t>
            </w:r>
            <w:hyperlink w:anchor="P1980" w:history="1">
              <w:r>
                <w:rPr>
                  <w:color w:val="0000ff"/>
                </w:rPr>
                <w:t>&lt;*&gt;</w:t>
              </w:r>
            </w:hyperlink>
          </w:p>
        </w:tc>
      </w:tr>
      <w:tr>
        <w:trPr>
          <w:tblHeader w:val="0"/>
          <w:cantSplit w:val="0"/>
          <w:trHeight w:val="0" w:hRule="auto"/>
        </w:trPr>
        <w:tc>
          <w:tcPr>
            <w:tcW w:w="816"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1.1</w:t>
            </w:r>
          </w:p>
        </w:tc>
        <w:tc>
          <w:tcPr>
            <w:tcW w:w="2201"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Озелененные территории общего пользования (парки, сады, скверы, бульвары)</w:t>
            </w:r>
          </w:p>
        </w:tc>
        <w:tc>
          <w:tcPr>
            <w:tcW w:w="172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для городских поселений, кв. м на одного человека</w:t>
            </w:r>
          </w:p>
        </w:tc>
        <w:tc>
          <w:tcPr>
            <w:tcW w:w="127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8 (10) </w:t>
            </w:r>
            <w:hyperlink w:anchor="P1979" w:history="1">
              <w:r>
                <w:rPr>
                  <w:color w:val="0000ff"/>
                </w:rPr>
                <w:t>&lt;*&gt;</w:t>
              </w:r>
            </w:hyperlink>
          </w:p>
        </w:tc>
        <w:tc>
          <w:tcPr>
            <w:tcW w:w="3778" w:type="dxa"/>
            <w:gridSpan w:val="2"/>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816"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0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72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для сельских поселений, кв. м на одного человека</w:t>
            </w:r>
          </w:p>
        </w:tc>
        <w:tc>
          <w:tcPr>
            <w:tcW w:w="127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12</w:t>
            </w:r>
          </w:p>
        </w:tc>
        <w:tc>
          <w:tcPr>
            <w:tcW w:w="3778" w:type="dxa"/>
            <w:gridSpan w:val="2"/>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r>
      <w:tr>
        <w:trPr>
          <w:tblHeader w:val="0"/>
          <w:cantSplit w:val="0"/>
          <w:trHeight w:val="0" w:hRule="auto"/>
        </w:trPr>
        <w:tc>
          <w:tcPr>
            <w:tcW w:w="816"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8978" w:type="dxa"/>
            <w:gridSpan w:val="6"/>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&lt;*&gt; В скобках приведены размеры территорий общего пользования для малых городов с численностью населения до 20 тысяч человек.</w:t>
            </w:r>
          </w:p>
        </w:tc>
      </w:tr>
      <w:tr>
        <w:trPr>
          <w:tblHeader w:val="0"/>
          <w:cantSplit w:val="0"/>
          <w:trHeight w:val="0" w:hRule="auto"/>
        </w:trPr>
        <w:tc>
          <w:tcPr>
            <w:tcW w:w="9794" w:type="dxa"/>
            <w:gridSpan w:val="7"/>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&lt;*&gt; Площадь территории парков, садов и скверов следует принимать, га, не менее: городских парков - 15, парков планировочных районов - 10, садов жилых районов - 3, скверов - 0,5 (для условий реконструкции - не менее 0,1).</w:t>
            </w:r>
          </w:p>
          <w:p>
            <w:pPr>
              <w:pStyle w:val="para1"/>
              <w:spacing/>
              <w:jc w:val="both"/>
            </w:pPr>
            <w: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pPr>
              <w:pStyle w:val="para1"/>
              <w:spacing/>
              <w:jc w:val="both"/>
            </w:pPr>
            <w: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trPr>
          <w:tblHeader w:val="0"/>
          <w:cantSplit w:val="0"/>
          <w:trHeight w:val="0" w:hRule="auto"/>
        </w:trPr>
        <w:tc>
          <w:tcPr>
            <w:tcW w:w="816"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1.2</w:t>
            </w:r>
          </w:p>
        </w:tc>
        <w:tc>
          <w:tcPr>
            <w:tcW w:w="22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Оборудованное место массовой околоводной рекреации (пляж)</w:t>
            </w:r>
          </w:p>
        </w:tc>
        <w:tc>
          <w:tcPr>
            <w:tcW w:w="172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площадь территории на человека (посетителя), кв. м</w:t>
            </w:r>
          </w:p>
        </w:tc>
        <w:tc>
          <w:tcPr>
            <w:tcW w:w="127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8 </w:t>
            </w:r>
            <w:hyperlink w:anchor="P1989" w:history="1">
              <w:r>
                <w:rPr>
                  <w:color w:val="0000ff"/>
                </w:rPr>
                <w:t>&lt;*&gt;</w:t>
              </w:r>
            </w:hyperlink>
          </w:p>
        </w:tc>
        <w:tc>
          <w:tcPr>
            <w:tcW w:w="164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транспортная доступность, мин.</w:t>
            </w:r>
          </w:p>
        </w:tc>
        <w:tc>
          <w:tcPr>
            <w:tcW w:w="212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90</w:t>
            </w:r>
          </w:p>
        </w:tc>
      </w:tr>
      <w:tr>
        <w:trPr>
          <w:tblHeader w:val="0"/>
          <w:cantSplit w:val="0"/>
          <w:trHeight w:val="0" w:hRule="auto"/>
        </w:trPr>
        <w:tc>
          <w:tcPr>
            <w:tcW w:w="816"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8978" w:type="dxa"/>
            <w:gridSpan w:val="6"/>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pPr>
              <w:pStyle w:val="para1"/>
              <w:spacing/>
              <w:jc w:val="both"/>
            </w:pPr>
            <w: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
          <w:p>
            <w:pPr>
              <w:pStyle w:val="para1"/>
              <w:spacing/>
              <w:jc w:val="both"/>
            </w:pPr>
            <w:r>
              <w:t>Минимальную протяженность береговой полосы речных и озерных пляжей следует принимать не менее 0,25 м на одного посетителя.</w:t>
            </w:r>
          </w:p>
        </w:tc>
      </w:tr>
      <w:tr>
        <w:trPr>
          <w:tblHeader w:val="0"/>
          <w:cantSplit w:val="0"/>
          <w:trHeight w:val="0" w:hRule="auto"/>
        </w:trPr>
        <w:tc>
          <w:tcPr>
            <w:tcW w:w="81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1.3</w:t>
            </w:r>
          </w:p>
        </w:tc>
        <w:tc>
          <w:tcPr>
            <w:tcW w:w="8978" w:type="dxa"/>
            <w:gridSpan w:val="6"/>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 xml:space="preserve">Площадки общего пользования различного функционального назначения в микрорайонах (кварталах) жилых зон </w:t>
            </w:r>
            <w:hyperlink w:anchor="P2029" w:history="1">
              <w:r>
                <w:rPr>
                  <w:color w:val="0000ff"/>
                </w:rPr>
                <w:t>&lt;*&gt;</w:t>
              </w:r>
            </w:hyperlink>
          </w:p>
        </w:tc>
      </w:tr>
      <w:tr>
        <w:trPr>
          <w:tblHeader w:val="0"/>
          <w:cantSplit w:val="0"/>
          <w:trHeight w:val="0" w:hRule="auto"/>
        </w:trPr>
        <w:tc>
          <w:tcPr>
            <w:tcW w:w="816"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1.3.1</w:t>
            </w:r>
          </w:p>
        </w:tc>
        <w:tc>
          <w:tcPr>
            <w:tcW w:w="22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Детские игровые площадки</w:t>
            </w:r>
          </w:p>
        </w:tc>
        <w:tc>
          <w:tcPr>
            <w:tcW w:w="172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площадь территории на человека, кв. м</w:t>
            </w:r>
          </w:p>
        </w:tc>
        <w:tc>
          <w:tcPr>
            <w:tcW w:w="127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0,7</w:t>
            </w:r>
          </w:p>
          <w:p>
            <w:pPr>
              <w:pStyle w:val="para1"/>
              <w:spacing/>
              <w:jc w:val="center"/>
            </w:pPr>
            <w:r>
              <w:t xml:space="preserve">0,4 </w:t>
            </w:r>
            <w:hyperlink w:anchor="P2000" w:history="1">
              <w:r>
                <w:rPr>
                  <w:color w:val="0000ff"/>
                </w:rPr>
                <w:t>&lt;*&gt;</w:t>
              </w:r>
            </w:hyperlink>
          </w:p>
        </w:tc>
        <w:tc>
          <w:tcPr>
            <w:tcW w:w="377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816"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8978" w:type="dxa"/>
            <w:gridSpan w:val="6"/>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&lt;*&gt; В районах реконструкции - не менее 0,4 кв. м на человека.</w:t>
            </w:r>
          </w:p>
        </w:tc>
      </w:tr>
      <w:tr>
        <w:trPr>
          <w:tblHeader w:val="0"/>
          <w:cantSplit w:val="0"/>
          <w:trHeight w:val="0" w:hRule="auto"/>
        </w:trPr>
        <w:tc>
          <w:tcPr>
            <w:tcW w:w="816"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1.3.2</w:t>
            </w:r>
          </w:p>
        </w:tc>
        <w:tc>
          <w:tcPr>
            <w:tcW w:w="22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Площадки для отдыха взрослого населения</w:t>
            </w:r>
          </w:p>
        </w:tc>
        <w:tc>
          <w:tcPr>
            <w:tcW w:w="172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площадь территории на человека, кв. м</w:t>
            </w:r>
          </w:p>
        </w:tc>
        <w:tc>
          <w:tcPr>
            <w:tcW w:w="127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0,2</w:t>
            </w:r>
          </w:p>
          <w:p>
            <w:pPr>
              <w:pStyle w:val="para1"/>
              <w:spacing/>
              <w:jc w:val="center"/>
            </w:pPr>
            <w:r>
              <w:t xml:space="preserve">0,1 </w:t>
            </w:r>
            <w:hyperlink w:anchor="P2007" w:history="1">
              <w:r>
                <w:rPr>
                  <w:color w:val="0000ff"/>
                </w:rPr>
                <w:t>&lt;*&gt;</w:t>
              </w:r>
            </w:hyperlink>
          </w:p>
        </w:tc>
        <w:tc>
          <w:tcPr>
            <w:tcW w:w="377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816"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8978" w:type="dxa"/>
            <w:gridSpan w:val="6"/>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&lt;*&gt; В районах реконструкции - не менее 0,1 кв. м на человека.</w:t>
            </w:r>
          </w:p>
        </w:tc>
      </w:tr>
      <w:tr>
        <w:trPr>
          <w:tblHeader w:val="0"/>
          <w:cantSplit w:val="0"/>
          <w:trHeight w:val="0" w:hRule="auto"/>
        </w:trPr>
        <w:tc>
          <w:tcPr>
            <w:tcW w:w="816"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1.3.3</w:t>
            </w:r>
          </w:p>
        </w:tc>
        <w:tc>
          <w:tcPr>
            <w:tcW w:w="22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Площадки для занятий физкультурой взрослого населения</w:t>
            </w:r>
          </w:p>
        </w:tc>
        <w:tc>
          <w:tcPr>
            <w:tcW w:w="172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площадь территории на человека, кв. м</w:t>
            </w:r>
          </w:p>
        </w:tc>
        <w:tc>
          <w:tcPr>
            <w:tcW w:w="127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0,7</w:t>
            </w:r>
          </w:p>
          <w:p>
            <w:pPr>
              <w:pStyle w:val="para1"/>
              <w:spacing/>
              <w:jc w:val="center"/>
            </w:pPr>
            <w:r>
              <w:t xml:space="preserve">0,5 </w:t>
            </w:r>
            <w:hyperlink w:anchor="P2014" w:history="1">
              <w:r>
                <w:rPr>
                  <w:color w:val="0000ff"/>
                </w:rPr>
                <w:t>&lt;*&gt;</w:t>
              </w:r>
            </w:hyperlink>
          </w:p>
        </w:tc>
        <w:tc>
          <w:tcPr>
            <w:tcW w:w="377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816"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8978" w:type="dxa"/>
            <w:gridSpan w:val="6"/>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&lt;*&gt; В районах реконструкции - не менее 0,5 кв. м на человека.</w:t>
            </w:r>
          </w:p>
          <w:p>
            <w:pPr>
              <w:pStyle w:val="para1"/>
              <w:spacing/>
              <w:jc w:val="both"/>
            </w:pPr>
            <w: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trPr>
          <w:tblHeader w:val="0"/>
          <w:cantSplit w:val="0"/>
          <w:trHeight w:val="0" w:hRule="auto"/>
        </w:trPr>
        <w:tc>
          <w:tcPr>
            <w:tcW w:w="816"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1.3.4</w:t>
            </w:r>
          </w:p>
        </w:tc>
        <w:tc>
          <w:tcPr>
            <w:tcW w:w="22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Площадки для хозяйственных целей (контейнерные площадки для сбора ТКО и крупногабаритного мусора)</w:t>
            </w:r>
          </w:p>
        </w:tc>
        <w:tc>
          <w:tcPr>
            <w:tcW w:w="172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площадь территории на человека, кв. м</w:t>
            </w:r>
          </w:p>
        </w:tc>
        <w:tc>
          <w:tcPr>
            <w:tcW w:w="1276"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0,03 </w:t>
            </w:r>
            <w:hyperlink w:anchor="P2022" w:history="1">
              <w:r>
                <w:rPr>
                  <w:color w:val="0000ff"/>
                </w:rPr>
                <w:t>&lt;*&gt;</w:t>
              </w:r>
            </w:hyperlink>
          </w:p>
        </w:tc>
        <w:tc>
          <w:tcPr>
            <w:tcW w:w="3778"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50 м</w:t>
            </w:r>
          </w:p>
          <w:p>
            <w:pPr>
              <w:pStyle w:val="para1"/>
              <w:spacing/>
              <w:jc w:val="center"/>
            </w:pPr>
            <w:r>
              <w:t xml:space="preserve">(100 м) </w:t>
            </w:r>
            <w:hyperlink w:anchor="P2023" w:history="1">
              <w:r>
                <w:rPr>
                  <w:color w:val="0000ff"/>
                </w:rPr>
                <w:t>&lt;**&gt;</w:t>
              </w:r>
            </w:hyperlink>
          </w:p>
        </w:tc>
      </w:tr>
      <w:tr>
        <w:trPr>
          <w:tblHeader w:val="0"/>
          <w:cantSplit w:val="0"/>
          <w:trHeight w:val="0" w:hRule="auto"/>
        </w:trPr>
        <w:tc>
          <w:tcPr>
            <w:tcW w:w="816"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8978" w:type="dxa"/>
            <w:gridSpan w:val="6"/>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&lt;*&gt; Уточняется правилами благоустройства территории муниципального образования.</w:t>
            </w:r>
          </w:p>
          <w:p>
            <w:pPr>
              <w:pStyle w:val="para1"/>
              <w:spacing/>
              <w:jc w:val="both"/>
            </w:pPr>
            <w: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trPr>
          <w:tblHeader w:val="0"/>
          <w:cantSplit w:val="0"/>
          <w:trHeight w:val="0" w:hRule="auto"/>
        </w:trPr>
        <w:tc>
          <w:tcPr>
            <w:tcW w:w="816"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1.3.5</w:t>
            </w:r>
          </w:p>
        </w:tc>
        <w:tc>
          <w:tcPr>
            <w:tcW w:w="22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Площадки для стоянки автомобилей</w:t>
            </w:r>
          </w:p>
        </w:tc>
        <w:tc>
          <w:tcPr>
            <w:tcW w:w="2241"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не нормируется </w:t>
            </w:r>
            <w:hyperlink w:anchor="P2028" w:history="1">
              <w:r>
                <w:rPr>
                  <w:color w:val="0000ff"/>
                </w:rPr>
                <w:t>&lt;*&gt;</w:t>
              </w:r>
            </w:hyperlink>
          </w:p>
        </w:tc>
        <w:tc>
          <w:tcPr>
            <w:tcW w:w="4536" w:type="dxa"/>
            <w:gridSpan w:val="3"/>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816"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8978" w:type="dxa"/>
            <w:gridSpan w:val="6"/>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 xml:space="preserve">&lt;*&gt; Размер территории площадок для стоянки автомобилей определяется с учетом количества машино-мест (парковочных мест) в соответствии с </w:t>
            </w:r>
            <w:hyperlink w:anchor="P2033" w:history="1">
              <w:r>
                <w:rPr>
                  <w:color w:val="0000ff"/>
                </w:rPr>
                <w:t>разделом 1.7.1</w:t>
              </w:r>
            </w:hyperlink>
            <w:r>
              <w:t xml:space="preserve"> настоящих нормативов. При этом при расчете площади территории площадок для стоянки автомобилей следует принимать на одно машино-место - 25 кв. м.</w:t>
            </w:r>
          </w:p>
        </w:tc>
      </w:tr>
      <w:tr>
        <w:trPr>
          <w:tblHeader w:val="0"/>
          <w:cantSplit w:val="0"/>
          <w:trHeight w:val="0" w:hRule="auto"/>
        </w:trPr>
        <w:tc>
          <w:tcPr>
            <w:tcW w:w="9794" w:type="dxa"/>
            <w:gridSpan w:val="7"/>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pPr>
              <w:pStyle w:val="para1"/>
              <w:spacing/>
              <w:jc w:val="both"/>
            </w:pPr>
            <w: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pPr>
              <w:pStyle w:val="para1"/>
              <w:spacing/>
              <w:jc w:val="both"/>
            </w:pPr>
            <w: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pPr>
        <w:pStyle w:val="para1"/>
        <w:spacing/>
        <w:jc w:val="both"/>
      </w:pPr>
      <w:r/>
    </w:p>
    <w:p>
      <w:pPr>
        <w:pStyle w:val="para3"/>
        <w:spacing/>
        <w:jc w:val="center"/>
        <w:outlineLvl w:val="2"/>
      </w:pPr>
      <w:bookmarkStart w:id="18" w:name="P2033"/>
      <w:bookmarkEnd w:id="18"/>
      <w:r>
        <w:t>1.7.1 Объекты для хранения и (или) паркования транспортных</w:t>
      </w:r>
    </w:p>
    <w:p>
      <w:pPr>
        <w:pStyle w:val="para3"/>
        <w:spacing/>
        <w:jc w:val="center"/>
      </w:pPr>
      <w:r>
        <w:t xml:space="preserve">средств </w:t>
      </w:r>
      <w:hyperlink w:anchor="P2298" w:history="1">
        <w:r>
          <w:rPr>
            <w:color w:val="0000ff"/>
          </w:rPr>
          <w:t>&lt;*&gt;</w:t>
        </w:r>
      </w:hyperlink>
    </w:p>
    <w:p>
      <w:pPr>
        <w:pStyle w:val="para1"/>
        <w:spacing/>
        <w:jc w:val="both"/>
      </w:pPr>
      <w:r/>
    </w:p>
    <w:tbl>
      <w:tblPr>
        <w:tblStyle w:val="NormalTable"/>
        <w:name w:val="Таблица9"/>
        <w:tabOrder w:val="0"/>
        <w:jc w:val="left"/>
        <w:tblInd w:w="0" w:type="dxa"/>
        <w:tblW w:w="9787" w:type="dxa"/>
        <w:tblLook w:val="0000" w:firstRow="0" w:lastRow="0" w:firstColumn="0" w:lastColumn="0" w:noHBand="0" w:noVBand="0"/>
      </w:tblPr>
      <w:tblGrid>
        <w:gridCol w:w="813"/>
        <w:gridCol w:w="2211"/>
        <w:gridCol w:w="1928"/>
        <w:gridCol w:w="1701"/>
        <w:gridCol w:w="1304"/>
        <w:gridCol w:w="1830"/>
      </w:tblGrid>
      <w:tr>
        <w:trPr>
          <w:tblHeader w:val="0"/>
          <w:cantSplit w:val="0"/>
          <w:trHeight w:val="0" w:hRule="auto"/>
        </w:trPr>
        <w:tc>
          <w:tcPr>
            <w:tcW w:w="813"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N п/п</w:t>
            </w:r>
          </w:p>
        </w:tc>
        <w:tc>
          <w:tcPr>
            <w:tcW w:w="2211"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Наименование объекта</w:t>
            </w:r>
          </w:p>
        </w:tc>
        <w:tc>
          <w:tcPr>
            <w:tcW w:w="3629"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Предельный показатель минимально допустимого уровня обеспеченности</w:t>
            </w:r>
          </w:p>
        </w:tc>
        <w:tc>
          <w:tcPr>
            <w:tcW w:w="3134"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Предельный показатель максимально допустимого уровня территориальной доступности</w:t>
            </w:r>
          </w:p>
        </w:tc>
      </w:tr>
      <w:tr>
        <w:trPr>
          <w:tblHeader w:val="0"/>
          <w:cantSplit w:val="0"/>
          <w:trHeight w:val="0" w:hRule="auto"/>
        </w:trPr>
        <w:tc>
          <w:tcPr>
            <w:tcW w:w="81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1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r>
      <w:tr>
        <w:trPr>
          <w:tblHeader w:val="0"/>
          <w:cantSplit w:val="0"/>
          <w:trHeight w:val="0" w:hRule="auto"/>
        </w:trPr>
        <w:tc>
          <w:tcPr>
            <w:tcW w:w="813"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1</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Объекты для хранения легковых автомобилей населения </w:t>
            </w:r>
            <w:hyperlink w:anchor="P2055" w:history="1">
              <w:r>
                <w:rPr>
                  <w:color w:val="0000ff"/>
                </w:rPr>
                <w:t>&lt;*&gt;</w:t>
              </w:r>
            </w:hyperlink>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(парковочных мест) на 1000 кв. м общей площади квартир</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11,4</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радиус пешеходной доступности,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800</w:t>
            </w:r>
          </w:p>
          <w:p>
            <w:pPr>
              <w:pStyle w:val="para1"/>
              <w:spacing/>
              <w:jc w:val="center"/>
            </w:pPr>
            <w:r>
              <w:t xml:space="preserve">(1000) </w:t>
            </w:r>
            <w:hyperlink w:anchor="P2056" w:history="1">
              <w:r>
                <w:rPr>
                  <w:color w:val="0000ff"/>
                </w:rPr>
                <w:t>&lt;**&gt;</w:t>
              </w:r>
            </w:hyperlink>
          </w:p>
        </w:tc>
      </w:tr>
      <w:tr>
        <w:trPr>
          <w:tblHeader w:val="0"/>
          <w:cantSplit w:val="0"/>
          <w:trHeight w:val="0" w:hRule="auto"/>
        </w:trPr>
        <w:tc>
          <w:tcPr>
            <w:tcW w:w="81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8974"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архитектурно-планировочного решения участка строительства.</w:t>
            </w:r>
          </w:p>
          <w:p>
            <w:pPr>
              <w:pStyle w:val="para1"/>
              <w:spacing/>
              <w:jc w:val="both"/>
            </w:pPr>
            <w:r>
              <w:t>&lt;**&gt; В районах реконструкции - не более 1000 м.</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pPr>
            <w:r>
              <w:t>2</w:t>
            </w:r>
          </w:p>
        </w:tc>
        <w:tc>
          <w:tcPr>
            <w:tcW w:w="8974" w:type="dxa"/>
            <w:gridSpan w:val="5"/>
            <w:tcMar>
              <w:top w:w="102" w:type="dxa"/>
              <w:left w:w="62" w:type="dxa"/>
              <w:bottom w:w="102" w:type="dxa"/>
              <w:right w:w="62" w:type="dxa"/>
            </w:tcMar>
            <w:tcBorders>
              <w:top w:val="single" w:sz="4" w:space="0" w:color="000000" tmln="10, 20, 20, 0, 0"/>
              <w:left w:val="single" w:sz="4" w:space="0" w:color="000000" tmln="10, 20, 20, 0, 0"/>
              <w:bottom w:val="nil" w:sz="0" w:space="0" w:color="000000" tmln="20, 20, 20, 0, 0"/>
              <w:right w:val="single" w:sz="4" w:space="0" w:color="000000" tmln="10, 20, 20, 0, 0"/>
            </w:tcBorders>
            <w:tmTcPr id="1625123939" protected="0"/>
          </w:tcPr>
          <w:p>
            <w:pPr>
              <w:pStyle w:val="para1"/>
              <w:spacing/>
              <w:jc w:val="both"/>
            </w:pPr>
            <w:r>
              <w:t>Приобъектные стоянки легковых автомобилей у зданий, сооружений, рекреационных территорий и объектов отдыха</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2.1</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Учреждения органов государственной власти, органов местного самоуправления</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220 кв. м общей площади</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2.2</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120 кв. м общей площади</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2.4</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Общеобразовательная организация</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50 обучающихся</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2.5</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Профессиональные образовательные организации, образовательные организации дополнительного образования</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3 преподавателя, занятых в одну смену</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2.6</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Центры обучения, самодеятельного творчества, клубы по интересам для взрослых</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25 кв. м общей площади</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2.7</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Научно-исследовательские и проектные институты</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170 кв. м общей площади</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2.8</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Производственные здания, коммунально-складские объекты, размещаемые в составе многофункциональных зон</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8 работающих в двух смежных сменах, человек</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2.9</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100 человек, работающих в двух смежных сменах</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7</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2.10</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Рынки постоянные:</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r>
      <w:tr>
        <w:trPr>
          <w:tblHeader w:val="0"/>
          <w:cantSplit w:val="0"/>
          <w:trHeight w:val="0" w:hRule="auto"/>
        </w:trPr>
        <w:tc>
          <w:tcPr>
            <w:tcW w:w="81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универсальные и непродовольственные</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40 кв. м общей площади</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продовольственные и сельскохозяйственные</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50 кв. м общей площади</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2.11</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Объекты коммунально-бытового обслуживания (бани)</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6 единовременных посетителей</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2.12</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Выставочно-музейные комплексы, музеи-заповедники, музеи, галереи, выставочные залы</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8 единовременных посетителей</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2.13</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Здания театрально-зрелищные:</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2.13.1</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1-го уровня комфорта</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7 зрительских мест</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1 </w:t>
            </w:r>
            <w:hyperlink w:anchor="P2164" w:history="1">
              <w:r>
                <w:rPr>
                  <w:color w:val="0000ff"/>
                </w:rPr>
                <w:t>&lt;*&gt;</w:t>
              </w:r>
            </w:hyperlink>
            <w:hyperlink w:anchor="P2165" w:history="1">
              <w:r>
                <w:rPr>
                  <w:color w:val="0000ff"/>
                </w:rPr>
                <w:t>&lt;**&gt;</w:t>
              </w:r>
            </w:hyperlink>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2.13.2</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2-го уровня комфорта</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 зрительских мест</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1 </w:t>
            </w:r>
            <w:hyperlink w:anchor="P2164" w:history="1">
              <w:r>
                <w:rPr>
                  <w:color w:val="0000ff"/>
                </w:rPr>
                <w:t>&lt;*&gt;</w:t>
              </w:r>
            </w:hyperlink>
            <w:hyperlink w:anchor="P2165" w:history="1">
              <w:r>
                <w:rPr>
                  <w:color w:val="0000ff"/>
                </w:rPr>
                <w:t>&lt;**&gt;</w:t>
              </w:r>
            </w:hyperlink>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2.13.3</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3-го уровня комфорта</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12 зрительских мест</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1 </w:t>
            </w:r>
            <w:hyperlink w:anchor="P2164" w:history="1">
              <w:r>
                <w:rPr>
                  <w:color w:val="0000ff"/>
                </w:rPr>
                <w:t>&lt;*&gt;</w:t>
              </w:r>
            </w:hyperlink>
            <w:hyperlink w:anchor="P2165" w:history="1">
              <w:r>
                <w:rPr>
                  <w:color w:val="0000ff"/>
                </w:rPr>
                <w:t>&lt;**&gt;</w:t>
              </w:r>
            </w:hyperlink>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c>
          <w:tcPr>
            <w:tcW w:w="8974"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&lt;*&gt; Дополнительно следует предусматривать места для легковых автомобилей работников и служащих театрально-зрелищного учреждения из расчета одно машино-место на 10 сотрудников.</w:t>
            </w:r>
          </w:p>
          <w:p>
            <w:pPr>
              <w:pStyle w:val="para1"/>
              <w:spacing/>
              <w:jc w:val="both"/>
            </w:pPr>
            <w:r>
              <w:t>&lt;**&gt; При реконструкции требуемое число машино-мест принимается по заданию на проектирование.</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2.14</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Центральные, специальные и специализированные библиотеки, интернет-кафе</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8 постоянных мест</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2.15</w:t>
            </w:r>
          </w:p>
        </w:tc>
        <w:tc>
          <w:tcPr>
            <w:tcW w:w="2211"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100 сотрудников</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10</w:t>
            </w:r>
          </w:p>
        </w:tc>
        <w:tc>
          <w:tcPr>
            <w:tcW w:w="1304"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1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100 коек</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10</w:t>
            </w:r>
          </w:p>
        </w:tc>
        <w:tc>
          <w:tcPr>
            <w:tcW w:w="1304"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830"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r>
      <w:tr>
        <w:trPr>
          <w:tblHeader w:val="0"/>
          <w:cantSplit w:val="0"/>
          <w:trHeight w:val="0" w:hRule="auto"/>
        </w:trPr>
        <w:tc>
          <w:tcPr>
            <w:tcW w:w="813"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2.16</w:t>
            </w:r>
          </w:p>
        </w:tc>
        <w:tc>
          <w:tcPr>
            <w:tcW w:w="2211"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Медицинские организации городского, районного, участкового уровня, оказывающие медицинскую помощь в стационарных условиях (больницы, диспансеры, родильные дома и др.)</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100 сотрудников</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5</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1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100 коек</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5</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r>
      <w:tr>
        <w:trPr>
          <w:tblHeader w:val="0"/>
          <w:cantSplit w:val="0"/>
          <w:trHeight w:val="0" w:hRule="auto"/>
        </w:trPr>
        <w:tc>
          <w:tcPr>
            <w:tcW w:w="813"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2.17</w:t>
            </w:r>
          </w:p>
        </w:tc>
        <w:tc>
          <w:tcPr>
            <w:tcW w:w="2211"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Лечебно-профилактические медицинские организации (поликлиники, в том числе амбулатории)</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100 сотрудников</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5</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1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100 посещений</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2.18</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Спортивные комплексы и стадионы с трибунами</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30 мест на трибунах</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2.19</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Оздоровительные комплексы (фитнес-клубы, физкультурно-оздоровительные комплексы, спортивные и тренажерные залы)</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55 кв. м общей площади</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2.20</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Тренажерные залы площадью 150 - 500 кв. м</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 единовременных посетителей</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2.21</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Физкультурно-оздоровительные комплексы с залом площадью 1000 - 2000 кв. м</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 единовременных посетителей</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2.22</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Физкультурно-оздоровительные комплексы с залом и бассейном общей площадью 2000 - 3000 кв. м</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7 единовременных посетителей</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2.23</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Специализированные спортивные клубы и комплексы (теннис, конный спорт, горнолыжные центры и др.)</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4 единовременных посетителя</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2.24</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Аквапарки, бассейны</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7 единовременных посетителей</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2.25</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Катки с искусственным покрытием общей площадью более 3000 кв. м</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7 единовременных посетителей</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2.26</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Железнодорожные вокзалы</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 пассажиров дальнего следования в час пик</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2.27</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Автовокзалы</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15 пассажиров в час пик</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2.28</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Аэровокзалы</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8 пассажиров в час пик</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150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2.29</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Пляжи и парки в зонах отдыха</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100 единовременных посетителей</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15</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400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2.30</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Лесопарки и заповедники</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100 единовременных посетителей</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7</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400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2.31</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Базы кратковременного отдыха (спортивные, лыжные, рыболовные, охотничьи и др.)</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100 единовременных посетителей</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10</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400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2.32</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Береговые базы маломерного флота</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100 единовременных посетителей</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10</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400</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2.33</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Дома отдыха и санатории, санатории-профилактории, базы отдыха предприятий и туристские базы</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 машино-мест на 100 человек отдыхающих и обслуживающего персонала</w:t>
            </w:r>
          </w:p>
        </w:tc>
        <w:tc>
          <w:tcPr>
            <w:tcW w:w="170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w:t>
            </w:r>
          </w:p>
        </w:tc>
        <w:tc>
          <w:tcPr>
            <w:tcW w:w="1304"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пешеходная доступность, м</w:t>
            </w:r>
          </w:p>
        </w:tc>
        <w:tc>
          <w:tcPr>
            <w:tcW w:w="183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400</w:t>
            </w:r>
          </w:p>
        </w:tc>
      </w:tr>
      <w:tr>
        <w:trPr>
          <w:tblHeader w:val="0"/>
          <w:cantSplit w:val="0"/>
          <w:trHeight w:val="0" w:hRule="auto"/>
        </w:trPr>
        <w:tc>
          <w:tcPr>
            <w:tcW w:w="9787" w:type="dxa"/>
            <w:gridSpan w:val="6"/>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 xml:space="preserve">&lt;*&gt; На стоянке (парковке) транспортных средств следует предусматривать машино-места для людей с инвалидностью в соответствии с требованиями </w:t>
            </w:r>
            <w:hyperlink r:id="rId15" w:history="1">
              <w:r>
                <w:rPr>
                  <w:color w:val="0000ff"/>
                </w:rPr>
                <w:t>СП 59.13330.2016</w:t>
              </w:r>
            </w:hyperlink>
            <w:r>
              <w:t xml:space="preserve">, </w:t>
            </w:r>
            <w:hyperlink r:id="rId16" w:history="1">
              <w:r>
                <w:rPr>
                  <w:color w:val="0000ff"/>
                </w:rPr>
                <w:t>СП 113.13330.2016</w:t>
              </w:r>
            </w:hyperlink>
            <w:r>
              <w:t xml:space="preserve"> (с последующими изменениями).</w:t>
            </w:r>
          </w:p>
          <w:p>
            <w:pPr>
              <w:pStyle w:val="para1"/>
              <w:spacing/>
              <w:jc w:val="both"/>
            </w:pPr>
            <w: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pPr>
        <w:pStyle w:val="para1"/>
        <w:spacing/>
        <w:jc w:val="both"/>
      </w:pPr>
      <w:r/>
    </w:p>
    <w:p>
      <w:pPr>
        <w:pStyle w:val="para3"/>
        <w:spacing/>
        <w:jc w:val="center"/>
        <w:outlineLvl w:val="2"/>
      </w:pPr>
      <w:bookmarkStart w:id="19" w:name="P2302"/>
      <w:bookmarkEnd w:id="19"/>
      <w:r>
        <w:t>1.8. Объекты инфраструктуры велосипедного транспорта</w:t>
      </w:r>
    </w:p>
    <w:p>
      <w:pPr>
        <w:pStyle w:val="para1"/>
        <w:spacing/>
        <w:jc w:val="both"/>
      </w:pPr>
      <w:r/>
    </w:p>
    <w:tbl>
      <w:tblPr>
        <w:tblStyle w:val="NormalTable"/>
        <w:name w:val="Таблица10"/>
        <w:tabOrder w:val="0"/>
        <w:jc w:val="left"/>
        <w:tblInd w:w="0" w:type="dxa"/>
        <w:tblW w:w="9787" w:type="dxa"/>
        <w:tblLook w:val="0000" w:firstRow="0" w:lastRow="0" w:firstColumn="0" w:lastColumn="0" w:noHBand="0" w:noVBand="0"/>
      </w:tblPr>
      <w:tblGrid>
        <w:gridCol w:w="813"/>
        <w:gridCol w:w="2211"/>
        <w:gridCol w:w="1928"/>
        <w:gridCol w:w="1956"/>
        <w:gridCol w:w="1469"/>
        <w:gridCol w:w="1410"/>
      </w:tblGrid>
      <w:tr>
        <w:trPr>
          <w:tblHeader w:val="0"/>
          <w:cantSplit w:val="0"/>
          <w:trHeight w:val="0" w:hRule="auto"/>
        </w:trPr>
        <w:tc>
          <w:tcPr>
            <w:tcW w:w="813"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N п/п</w:t>
            </w:r>
          </w:p>
        </w:tc>
        <w:tc>
          <w:tcPr>
            <w:tcW w:w="2211"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Наименование объекта</w:t>
            </w:r>
          </w:p>
        </w:tc>
        <w:tc>
          <w:tcPr>
            <w:tcW w:w="3884"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Предельные показатели минимально допустимого уровня обеспеченности</w:t>
            </w:r>
          </w:p>
        </w:tc>
        <w:tc>
          <w:tcPr>
            <w:tcW w:w="2879" w:type="dxa"/>
            <w:gridSpan w:val="2"/>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Предельные показатели максимально допустимого уровня территориальной доступности</w:t>
            </w:r>
          </w:p>
        </w:tc>
      </w:tr>
      <w:tr>
        <w:trPr>
          <w:tblHeader w:val="0"/>
          <w:cantSplit w:val="0"/>
          <w:trHeight w:val="0" w:hRule="auto"/>
        </w:trPr>
        <w:tc>
          <w:tcPr>
            <w:tcW w:w="81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1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195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c>
          <w:tcPr>
            <w:tcW w:w="146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единица измерения</w:t>
            </w:r>
          </w:p>
        </w:tc>
        <w:tc>
          <w:tcPr>
            <w:tcW w:w="141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величина</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w:t>
            </w:r>
          </w:p>
        </w:tc>
        <w:tc>
          <w:tcPr>
            <w:tcW w:w="2211"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2</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3</w:t>
            </w:r>
          </w:p>
        </w:tc>
        <w:tc>
          <w:tcPr>
            <w:tcW w:w="195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4</w:t>
            </w:r>
          </w:p>
        </w:tc>
        <w:tc>
          <w:tcPr>
            <w:tcW w:w="1469"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5</w:t>
            </w:r>
          </w:p>
        </w:tc>
        <w:tc>
          <w:tcPr>
            <w:tcW w:w="1410"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6</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outlineLvl w:val="3"/>
            </w:pPr>
            <w:r>
              <w:t>1</w:t>
            </w:r>
          </w:p>
        </w:tc>
        <w:tc>
          <w:tcPr>
            <w:tcW w:w="8974"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 xml:space="preserve">Система объектов инфраструктуры велосипедного транспорта в границах сельских населенных пунктов </w:t>
            </w:r>
            <w:hyperlink w:anchor="P2368" w:history="1">
              <w:r>
                <w:rPr>
                  <w:color w:val="0000ff"/>
                </w:rPr>
                <w:t>&lt;1&gt;</w:t>
              </w:r>
            </w:hyperlink>
          </w:p>
        </w:tc>
      </w:tr>
      <w:tr>
        <w:trPr>
          <w:tblHeader w:val="0"/>
          <w:cantSplit w:val="0"/>
          <w:trHeight w:val="0" w:hRule="auto"/>
        </w:trPr>
        <w:tc>
          <w:tcPr>
            <w:tcW w:w="813"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1.1</w:t>
            </w:r>
          </w:p>
        </w:tc>
        <w:tc>
          <w:tcPr>
            <w:tcW w:w="2211"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Велосипедная дорожка в пределах квартала</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w:t>
            </w:r>
          </w:p>
          <w:p>
            <w:pPr>
              <w:pStyle w:val="para1"/>
              <w:spacing/>
              <w:jc w:val="center"/>
            </w:pPr>
            <w:r>
              <w:t>(объект)</w:t>
            </w:r>
          </w:p>
        </w:tc>
        <w:tc>
          <w:tcPr>
            <w:tcW w:w="195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1 </w:t>
            </w:r>
            <w:hyperlink w:anchor="P2392" w:history="1">
              <w:r>
                <w:rPr>
                  <w:color w:val="0000ff"/>
                </w:rPr>
                <w:t>&lt;*&gt;</w:t>
              </w:r>
            </w:hyperlink>
          </w:p>
        </w:tc>
        <w:tc>
          <w:tcPr>
            <w:tcW w:w="2879" w:type="dxa"/>
            <w:gridSpan w:val="2"/>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81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1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протяженность, км</w:t>
            </w:r>
          </w:p>
        </w:tc>
        <w:tc>
          <w:tcPr>
            <w:tcW w:w="195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Определяется заданием на проектирование</w:t>
            </w:r>
          </w:p>
        </w:tc>
        <w:tc>
          <w:tcPr>
            <w:tcW w:w="2879" w:type="dxa"/>
            <w:gridSpan w:val="2"/>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r>
      <w:tr>
        <w:trPr>
          <w:tblHeader w:val="0"/>
          <w:cantSplit w:val="0"/>
          <w:trHeight w:val="0" w:hRule="auto"/>
        </w:trPr>
        <w:tc>
          <w:tcPr>
            <w:tcW w:w="813"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1.2</w:t>
            </w:r>
          </w:p>
        </w:tc>
        <w:tc>
          <w:tcPr>
            <w:tcW w:w="2211"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Велосипедная дорожка в пределах микрорайона</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w:t>
            </w:r>
          </w:p>
          <w:p>
            <w:pPr>
              <w:pStyle w:val="para1"/>
              <w:spacing/>
              <w:jc w:val="center"/>
            </w:pPr>
            <w:r>
              <w:t>(объект)</w:t>
            </w:r>
          </w:p>
        </w:tc>
        <w:tc>
          <w:tcPr>
            <w:tcW w:w="195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1 </w:t>
            </w:r>
            <w:hyperlink w:anchor="P2392" w:history="1">
              <w:r>
                <w:rPr>
                  <w:color w:val="0000ff"/>
                </w:rPr>
                <w:t>&lt;*&gt;</w:t>
              </w:r>
            </w:hyperlink>
          </w:p>
        </w:tc>
        <w:tc>
          <w:tcPr>
            <w:tcW w:w="2879" w:type="dxa"/>
            <w:gridSpan w:val="2"/>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81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1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Протяженность, км</w:t>
            </w:r>
          </w:p>
        </w:tc>
        <w:tc>
          <w:tcPr>
            <w:tcW w:w="195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Определяется заданием на проектирование</w:t>
            </w:r>
          </w:p>
        </w:tc>
        <w:tc>
          <w:tcPr>
            <w:tcW w:w="2879" w:type="dxa"/>
            <w:gridSpan w:val="2"/>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r>
      <w:tr>
        <w:trPr>
          <w:tblHeader w:val="0"/>
          <w:cantSplit w:val="0"/>
          <w:trHeight w:val="0" w:hRule="auto"/>
        </w:trPr>
        <w:tc>
          <w:tcPr>
            <w:tcW w:w="813"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1.3</w:t>
            </w:r>
          </w:p>
        </w:tc>
        <w:tc>
          <w:tcPr>
            <w:tcW w:w="2211"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Велосипедная дорожка в пределах жилого района</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w:t>
            </w:r>
          </w:p>
          <w:p>
            <w:pPr>
              <w:pStyle w:val="para1"/>
              <w:spacing/>
              <w:jc w:val="center"/>
            </w:pPr>
            <w:r>
              <w:t>(объект)</w:t>
            </w:r>
          </w:p>
        </w:tc>
        <w:tc>
          <w:tcPr>
            <w:tcW w:w="195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 (включает в себя велосипедные дорожки кварталов,</w:t>
            </w:r>
          </w:p>
          <w:p>
            <w:pPr>
              <w:pStyle w:val="para1"/>
              <w:spacing/>
              <w:jc w:val="center"/>
            </w:pPr>
            <w:r>
              <w:t>микрорайонов, объединенных участками, пересекающими магистральные улицы регулируемого движения,</w:t>
            </w:r>
          </w:p>
          <w:p>
            <w:pPr>
              <w:pStyle w:val="para1"/>
              <w:spacing/>
              <w:jc w:val="center"/>
            </w:pPr>
            <w:r>
              <w:t>улицы и дороги местного значения, либо находящиеся в составе поперечного профиля указанных улиц и дорог)</w:t>
            </w:r>
          </w:p>
          <w:p>
            <w:pPr>
              <w:pStyle w:val="para1"/>
              <w:spacing/>
              <w:jc w:val="center"/>
            </w:pPr>
            <w:hyperlink w:anchor="P2392" w:history="1">
              <w:r>
                <w:rPr>
                  <w:color w:val="0000ff"/>
                </w:rPr>
                <w:t>&lt;*&gt;</w:t>
              </w:r>
            </w:hyperlink>
          </w:p>
        </w:tc>
        <w:tc>
          <w:tcPr>
            <w:tcW w:w="2879" w:type="dxa"/>
            <w:gridSpan w:val="2"/>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81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1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протяженность, км</w:t>
            </w:r>
          </w:p>
        </w:tc>
        <w:tc>
          <w:tcPr>
            <w:tcW w:w="195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определяется заданием на проектирование</w:t>
            </w:r>
          </w:p>
        </w:tc>
        <w:tc>
          <w:tcPr>
            <w:tcW w:w="2879" w:type="dxa"/>
            <w:gridSpan w:val="2"/>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r>
      <w:tr>
        <w:trPr>
          <w:tblHeader w:val="0"/>
          <w:cantSplit w:val="0"/>
          <w:trHeight w:val="0" w:hRule="auto"/>
        </w:trPr>
        <w:tc>
          <w:tcPr>
            <w:tcW w:w="813"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1.4</w:t>
            </w:r>
          </w:p>
        </w:tc>
        <w:tc>
          <w:tcPr>
            <w:tcW w:w="2211"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Велосипедные дорожки в парках культуры и отдыха, городских парках</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w:t>
            </w:r>
          </w:p>
          <w:p>
            <w:pPr>
              <w:pStyle w:val="para1"/>
              <w:spacing/>
              <w:jc w:val="center"/>
            </w:pPr>
            <w:r>
              <w:t>(объект)</w:t>
            </w:r>
          </w:p>
        </w:tc>
        <w:tc>
          <w:tcPr>
            <w:tcW w:w="195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1 на объект</w:t>
            </w:r>
          </w:p>
        </w:tc>
        <w:tc>
          <w:tcPr>
            <w:tcW w:w="2879" w:type="dxa"/>
            <w:gridSpan w:val="2"/>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81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1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протяженность, км</w:t>
            </w:r>
          </w:p>
        </w:tc>
        <w:tc>
          <w:tcPr>
            <w:tcW w:w="195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определяется заданием на проектирование </w:t>
            </w:r>
            <w:hyperlink w:anchor="P2393" w:history="1">
              <w:r>
                <w:rPr>
                  <w:color w:val="0000ff"/>
                </w:rPr>
                <w:t>&lt;**&gt;</w:t>
              </w:r>
            </w:hyperlink>
          </w:p>
        </w:tc>
        <w:tc>
          <w:tcPr>
            <w:tcW w:w="2879" w:type="dxa"/>
            <w:gridSpan w:val="2"/>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r>
      <w:tr>
        <w:trPr>
          <w:tblHeader w:val="0"/>
          <w:cantSplit w:val="0"/>
          <w:trHeight w:val="0" w:hRule="auto"/>
        </w:trPr>
        <w:tc>
          <w:tcPr>
            <w:tcW w:w="813"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1.5</w:t>
            </w:r>
          </w:p>
        </w:tc>
        <w:tc>
          <w:tcPr>
            <w:tcW w:w="2211"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Велосипедные дорожки в составе поперечного профиля улично-дорожной сети магистральных улиц регулируемого движения,</w:t>
            </w:r>
          </w:p>
          <w:p>
            <w:pPr>
              <w:pStyle w:val="para1"/>
              <w:spacing/>
              <w:jc w:val="center"/>
            </w:pPr>
            <w:r>
              <w:t xml:space="preserve">улиц и дорог местного значения, в том числе обеспечивающие связь велосипедных дорожек, указанных в </w:t>
            </w:r>
            <w:hyperlink w:anchor="P2322" w:history="1">
              <w:r>
                <w:rPr>
                  <w:color w:val="0000ff"/>
                </w:rPr>
                <w:t>пунктах 1.1</w:t>
              </w:r>
            </w:hyperlink>
            <w:r>
              <w:t xml:space="preserve"> - </w:t>
            </w:r>
            <w:hyperlink w:anchor="P2349" w:history="1">
              <w:r>
                <w:rPr>
                  <w:color w:val="0000ff"/>
                </w:rPr>
                <w:t>1.4</w:t>
              </w:r>
            </w:hyperlink>
            <w:r>
              <w:t>:</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w:t>
            </w:r>
          </w:p>
          <w:p>
            <w:pPr>
              <w:pStyle w:val="para1"/>
              <w:spacing/>
              <w:jc w:val="center"/>
            </w:pPr>
            <w:r>
              <w:t>(объект)</w:t>
            </w:r>
          </w:p>
        </w:tc>
        <w:tc>
          <w:tcPr>
            <w:tcW w:w="195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определяется необходимостью обеспечения связей велосипедных дорожек, указанных в </w:t>
            </w:r>
            <w:hyperlink w:anchor="P2322" w:history="1">
              <w:r>
                <w:rPr>
                  <w:color w:val="0000ff"/>
                </w:rPr>
                <w:t>пунктах 1.1</w:t>
              </w:r>
            </w:hyperlink>
            <w:r>
              <w:t xml:space="preserve"> - </w:t>
            </w:r>
            <w:hyperlink w:anchor="P2349" w:history="1">
              <w:r>
                <w:rPr>
                  <w:color w:val="0000ff"/>
                </w:rPr>
                <w:t>1.4</w:t>
              </w:r>
            </w:hyperlink>
            <w:r>
              <w:t>, в единую сеть</w:t>
            </w:r>
          </w:p>
          <w:p>
            <w:pPr>
              <w:pStyle w:val="para1"/>
              <w:spacing/>
              <w:jc w:val="center"/>
            </w:pPr>
            <w:hyperlink w:anchor="P2392" w:history="1">
              <w:r>
                <w:rPr>
                  <w:color w:val="0000ff"/>
                </w:rPr>
                <w:t>&lt;*&gt;</w:t>
              </w:r>
            </w:hyperlink>
          </w:p>
        </w:tc>
        <w:tc>
          <w:tcPr>
            <w:tcW w:w="2879" w:type="dxa"/>
            <w:gridSpan w:val="2"/>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81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1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протяженность, км</w:t>
            </w:r>
          </w:p>
        </w:tc>
        <w:tc>
          <w:tcPr>
            <w:tcW w:w="1956"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 xml:space="preserve">определяется заданием на проектирование </w:t>
            </w:r>
            <w:hyperlink w:anchor="P2394" w:history="1">
              <w:r>
                <w:rPr>
                  <w:color w:val="0000ff"/>
                </w:rPr>
                <w:t>&lt;***&gt;</w:t>
              </w:r>
            </w:hyperlink>
          </w:p>
        </w:tc>
        <w:tc>
          <w:tcPr>
            <w:tcW w:w="2879" w:type="dxa"/>
            <w:gridSpan w:val="2"/>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p>
        </w:tc>
        <w:tc>
          <w:tcPr>
            <w:tcW w:w="8974"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&lt;1&gt; Система объектов инфраструктуры велосипедного транспорта (далее - система) в границах городских и сельских населенных пунктов в зависимости от их планировочных особенностей включает велосипедные дорожки (велопешеходные дорожки, а также полосы для велосипедистов):</w:t>
            </w:r>
          </w:p>
          <w:p>
            <w:pPr>
              <w:pStyle w:val="para1"/>
              <w:spacing/>
              <w:jc w:val="both"/>
            </w:pPr>
            <w:r>
              <w:t>- кварталов (передвижение внутри квартала,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pPr>
              <w:pStyle w:val="para1"/>
              <w:spacing/>
              <w:jc w:val="both"/>
            </w:pPr>
            <w:r>
              <w:t>- микрорайонов (передвижение внутри микрорайона, велотранспортные маршруты, обеспечивающие доступ к жилым зданиям и другим местам притяжения, характеризующиеся низкой скоростью, низкой интенсивностью движения);</w:t>
            </w:r>
          </w:p>
          <w:p>
            <w:pPr>
              <w:pStyle w:val="para1"/>
              <w:spacing/>
              <w:jc w:val="both"/>
            </w:pPr>
            <w:r>
              <w:t>-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велотранспортные маршруты, обеспечивающие быстрое и беспрепятственное передвижение между частями населенного пункта);</w:t>
            </w:r>
          </w:p>
          <w:p>
            <w:pPr>
              <w:pStyle w:val="para1"/>
              <w:spacing/>
              <w:jc w:val="both"/>
            </w:pPr>
            <w:r>
              <w:t>- в составе поперечного профиля улично-дорожной сети.</w:t>
            </w:r>
          </w:p>
          <w:p>
            <w:pPr>
              <w:pStyle w:val="para1"/>
              <w:spacing/>
              <w:jc w:val="both"/>
            </w:pPr>
            <w:r>
              <w:t>Цели создания системы:</w:t>
            </w:r>
          </w:p>
          <w:p>
            <w:pPr>
              <w:pStyle w:val="para1"/>
              <w:spacing/>
              <w:jc w:val="both"/>
            </w:pPr>
            <w:r>
              <w:t>- повышение удобства передвижения на расстояния до 10 - 15 км;</w:t>
            </w:r>
          </w:p>
          <w:p>
            <w:pPr>
              <w:pStyle w:val="para1"/>
              <w:spacing/>
              <w:jc w:val="both"/>
            </w:pPr>
            <w:r>
              <w:t>- повышение доступности территорий;</w:t>
            </w:r>
          </w:p>
          <w:p>
            <w:pPr>
              <w:pStyle w:val="para1"/>
              <w:spacing/>
              <w:jc w:val="both"/>
            </w:pPr>
            <w:r>
              <w:t>- решение транспортных, экологических, социальных проблем;</w:t>
            </w:r>
          </w:p>
          <w:p>
            <w:pPr>
              <w:pStyle w:val="para1"/>
              <w:spacing/>
              <w:jc w:val="both"/>
            </w:pPr>
            <w:r>
              <w:t>- сокращение затрат на здравоохранение;</w:t>
            </w:r>
          </w:p>
          <w:p>
            <w:pPr>
              <w:pStyle w:val="para1"/>
              <w:spacing/>
              <w:jc w:val="both"/>
            </w:pPr>
            <w:r>
              <w:t>- повышение качества среды обитания за счет сокращения числа поездок на автомобилях на расстояния до 10 - 15 км.</w:t>
            </w:r>
          </w:p>
          <w:p>
            <w:pPr>
              <w:pStyle w:val="para1"/>
              <w:spacing/>
              <w:jc w:val="both"/>
            </w:pPr>
            <w: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17" w:history="1">
              <w:r>
                <w:rPr>
                  <w:color w:val="0000ff"/>
                </w:rPr>
                <w:t>закона</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pPr>
              <w:pStyle w:val="para1"/>
              <w:spacing/>
              <w:jc w:val="both"/>
            </w:pPr>
            <w: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pPr>
              <w:pStyle w:val="para1"/>
              <w:spacing/>
              <w:jc w:val="both"/>
            </w:pPr>
            <w:r>
              <w:t>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pPr>
              <w:pStyle w:val="para1"/>
              <w:spacing/>
              <w:jc w:val="both"/>
            </w:pPr>
            <w:r>
              <w:t>При проектировании и устройстве велополос, велопешеходных дорожек следует соблюдать следующие рекомендации:</w:t>
            </w:r>
          </w:p>
          <w:p>
            <w:pPr>
              <w:pStyle w:val="para1"/>
              <w:spacing/>
              <w:jc w:val="both"/>
            </w:pPr>
            <w:r>
              <w:t>- велополосы, велопешеходные дорожки необходимо проектировать таким образом, чтобы они обеспечивали непрерывность всего комплекса пешеходных и велотранспортных маршрутов, а также свободный доступ для всех велосипедистов к объектам тяготения (зданиям, сооружениям, объектам транспортной инфраструктуры и пр.);</w:t>
            </w:r>
          </w:p>
          <w:p>
            <w:pPr>
              <w:pStyle w:val="para1"/>
              <w:spacing/>
              <w:jc w:val="both"/>
            </w:pPr>
            <w:r>
              <w:t>- велотранспортные маршруты следует прокладывать по кратчайшим путям с учетом обеспечения безопасности движения;</w:t>
            </w:r>
          </w:p>
          <w:p>
            <w:pPr>
              <w:pStyle w:val="para1"/>
              <w:spacing/>
              <w:jc w:val="both"/>
            </w:pPr>
            <w:r>
              <w:t>- велополосы и велопешеходные дорожки следует выполнять, по возможности, без изменения продольного профиля участка, с минимальным числом пересечений с проезжей частью улиц;</w:t>
            </w:r>
          </w:p>
          <w:p>
            <w:pPr>
              <w:pStyle w:val="para1"/>
              <w:spacing/>
              <w:jc w:val="both"/>
            </w:pPr>
            <w:r>
              <w:t>- обустройство велопешеходных дорожек должно обеспечивать комфортность движения по ним всех предполагаемых (прогнозируемых) групп пользователей;</w:t>
            </w:r>
          </w:p>
          <w:p>
            <w:pPr>
              <w:pStyle w:val="para1"/>
              <w:spacing/>
              <w:jc w:val="both"/>
            </w:pPr>
            <w: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pPr>
              <w:pStyle w:val="para1"/>
              <w:spacing/>
              <w:jc w:val="both"/>
            </w:pPr>
            <w:r>
              <w:t>- решетки водостока, размещаемые при необходимости на велопешеходных дорожках и велополосах, должны выполняться со щелями, направленными поперек направления движения велосипедистов.</w:t>
            </w:r>
          </w:p>
          <w:p>
            <w:pPr>
              <w:pStyle w:val="para1"/>
              <w:spacing/>
              <w:jc w:val="both"/>
            </w:pPr>
            <w:r>
              <w:t xml:space="preserve">Велополосы на сети дорог выделяются и обозначаются дорожными знаками и разметкой в соответствии с Правилами дорожного движения и </w:t>
            </w:r>
            <w:hyperlink r:id="rId18" w:history="1">
              <w:r>
                <w:rPr>
                  <w:color w:val="0000ff"/>
                </w:rPr>
                <w:t>ГОСТ Р 52289-2019</w:t>
              </w:r>
            </w:hyperlink>
            <w: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pPr>
              <w:pStyle w:val="para1"/>
              <w:spacing/>
              <w:jc w:val="both"/>
            </w:pPr>
            <w:r>
              <w:t xml:space="preserve">Велосипедные дорожки и велопешеходные дорожки, образующие велотранспортные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Веломаршруты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19" w:history="1">
              <w:r>
                <w:rPr>
                  <w:color w:val="0000ff"/>
                </w:rPr>
                <w:t>ГОСТ Р 52605-2006</w:t>
              </w:r>
            </w:hyperlink>
            <w:r>
              <w:t xml:space="preserve"> "Технические средства организации дорожного движения. Искусственные неровности. Общие технические требования. Правила применения".</w:t>
            </w:r>
          </w:p>
          <w:p>
            <w:pPr>
              <w:pStyle w:val="para1"/>
              <w:spacing/>
              <w:jc w:val="both"/>
            </w:pPr>
            <w:r>
              <w:t>Во дворах жилых домов велополосы не устраиваются.</w:t>
            </w:r>
          </w:p>
          <w:p>
            <w:pPr>
              <w:pStyle w:val="para1"/>
              <w:spacing/>
              <w:jc w:val="both"/>
            </w:pPr>
            <w: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pPr>
              <w:pStyle w:val="para1"/>
              <w:spacing/>
              <w:jc w:val="both"/>
            </w:pPr>
            <w: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pPr>
              <w:pStyle w:val="para1"/>
              <w:spacing/>
              <w:jc w:val="both"/>
            </w:pPr>
            <w: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trPr>
          <w:tblHeader w:val="0"/>
          <w:cantSplit w:val="0"/>
          <w:trHeight w:val="0" w:hRule="auto"/>
        </w:trPr>
        <w:tc>
          <w:tcPr>
            <w:tcW w:w="813"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outlineLvl w:val="3"/>
            </w:pPr>
            <w:r>
              <w:t>2</w:t>
            </w:r>
          </w:p>
        </w:tc>
        <w:tc>
          <w:tcPr>
            <w:tcW w:w="8974" w:type="dxa"/>
            <w:gridSpan w:val="5"/>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 xml:space="preserve">Система объектов инфраструктуры велосипедного транспорта за границами сельских населенных пунктов </w:t>
            </w:r>
            <w:hyperlink w:anchor="P2405" w:history="1">
              <w:r>
                <w:rPr>
                  <w:color w:val="0000ff"/>
                </w:rPr>
                <w:t>&lt;1&gt;</w:t>
              </w:r>
            </w:hyperlink>
          </w:p>
        </w:tc>
      </w:tr>
      <w:tr>
        <w:trPr>
          <w:tblHeader w:val="0"/>
          <w:cantSplit w:val="0"/>
          <w:trHeight w:val="0" w:hRule="auto"/>
        </w:trPr>
        <w:tc>
          <w:tcPr>
            <w:tcW w:w="813"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pPr>
            <w:r>
              <w:t>2.1</w:t>
            </w:r>
          </w:p>
        </w:tc>
        <w:tc>
          <w:tcPr>
            <w:tcW w:w="2211"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Велосипедные дорожки на подходах к населенным пунктам, к местам рекреаций, местам приложения труда и на туристических маршрутах</w:t>
            </w: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количество</w:t>
            </w:r>
          </w:p>
          <w:p>
            <w:pPr>
              <w:pStyle w:val="para1"/>
              <w:spacing/>
              <w:jc w:val="center"/>
            </w:pPr>
            <w:r>
              <w:t>(объект)</w:t>
            </w:r>
          </w:p>
        </w:tc>
        <w:tc>
          <w:tcPr>
            <w:tcW w:w="1956" w:type="dxa"/>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Определяется заданием на проектирование</w:t>
            </w:r>
          </w:p>
        </w:tc>
        <w:tc>
          <w:tcPr>
            <w:tcW w:w="2879" w:type="dxa"/>
            <w:gridSpan w:val="2"/>
            <w:vMerge w:val="restart"/>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не нормируется</w:t>
            </w:r>
          </w:p>
        </w:tc>
      </w:tr>
      <w:tr>
        <w:trPr>
          <w:tblHeader w:val="0"/>
          <w:cantSplit w:val="0"/>
          <w:trHeight w:val="0" w:hRule="auto"/>
        </w:trPr>
        <w:tc>
          <w:tcPr>
            <w:tcW w:w="813"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211"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1928" w:type="dxa"/>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center"/>
            </w:pPr>
            <w:r>
              <w:t>протяженность,</w:t>
            </w:r>
          </w:p>
          <w:p>
            <w:pPr>
              <w:pStyle w:val="para1"/>
              <w:spacing/>
              <w:jc w:val="center"/>
            </w:pPr>
            <w:r>
              <w:t>км</w:t>
            </w:r>
          </w:p>
        </w:tc>
        <w:tc>
          <w:tcPr>
            <w:tcW w:w="1956" w:type="dxa"/>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c>
          <w:tcPr>
            <w:tcW w:w="2879" w:type="dxa"/>
            <w:gridSpan w:val="2"/>
            <w:vMerge/>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tc>
      </w:tr>
      <w:tr>
        <w:trPr>
          <w:tblHeader w:val="0"/>
          <w:cantSplit w:val="0"/>
          <w:trHeight w:val="0" w:hRule="auto"/>
        </w:trPr>
        <w:tc>
          <w:tcPr>
            <w:tcW w:w="9787" w:type="dxa"/>
            <w:gridSpan w:val="6"/>
            <w:tcMar>
              <w:top w:w="102" w:type="dxa"/>
              <w:left w:w="62" w:type="dxa"/>
              <w:bottom w:w="102" w:type="dxa"/>
              <w:right w:w="62" w:type="dxa"/>
            </w:tcMar>
            <w:tcBorders>
              <w:top w:val="single" w:sz="4" w:space="0" w:color="000000" tmln="10, 20, 20, 0, 0"/>
              <w:left w:val="single" w:sz="4" w:space="0" w:color="000000" tmln="10, 20, 20, 0, 0"/>
              <w:bottom w:val="single" w:sz="4" w:space="0" w:color="000000" tmln="10, 20, 20, 0, 0"/>
              <w:right w:val="single" w:sz="4" w:space="0" w:color="000000" tmln="10, 20, 20, 0, 0"/>
            </w:tcBorders>
            <w:tmTcPr id="1625123939" protected="0"/>
          </w:tcPr>
          <w:p>
            <w:pPr>
              <w:pStyle w:val="para1"/>
              <w:spacing/>
              <w:jc w:val="both"/>
            </w:pPr>
            <w: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pPr>
              <w:pStyle w:val="para1"/>
              <w:spacing/>
              <w:jc w:val="both"/>
            </w:pPr>
            <w:r>
              <w:t>- на подходах к населенным пунктам;</w:t>
            </w:r>
          </w:p>
          <w:p>
            <w:pPr>
              <w:pStyle w:val="para1"/>
              <w:spacing/>
              <w:jc w:val="both"/>
            </w:pPr>
            <w:r>
              <w:t>- к местам рекреаций;</w:t>
            </w:r>
          </w:p>
          <w:p>
            <w:pPr>
              <w:pStyle w:val="para1"/>
              <w:spacing/>
              <w:jc w:val="both"/>
            </w:pPr>
            <w:r>
              <w:t>- на туристических маршрутах;</w:t>
            </w:r>
          </w:p>
          <w:p>
            <w:pPr>
              <w:pStyle w:val="para1"/>
              <w:spacing/>
              <w:jc w:val="both"/>
            </w:pPr>
            <w:r>
              <w:t>- к местам приложения труда.</w:t>
            </w:r>
          </w:p>
          <w:p>
            <w:pPr>
              <w:pStyle w:val="para1"/>
              <w:spacing/>
              <w:jc w:val="both"/>
            </w:pPr>
            <w:r>
              <w:t>Велосипедные дорожки на подходах к населенным пунктам должны присоединяться к системе объектов велотранспортной инфраструктуры населенных пунктов в целях обеспечения непрерывности велосипедного движения.</w:t>
            </w:r>
          </w:p>
        </w:tc>
      </w:tr>
    </w:tbl>
    <w:p>
      <w:pPr>
        <w:pStyle w:val="para1"/>
        <w:spacing/>
        <w:jc w:val="both"/>
      </w:pPr>
      <w:r/>
    </w:p>
    <w:p>
      <w:pPr>
        <w:pStyle w:val="para3"/>
        <w:spacing/>
        <w:jc w:val="center"/>
        <w:outlineLvl w:val="1"/>
      </w:pPr>
      <w:r>
        <w:t>2. Материалы по обоснованию расчетных показателей,</w:t>
      </w:r>
    </w:p>
    <w:p>
      <w:pPr>
        <w:pStyle w:val="para3"/>
        <w:spacing/>
        <w:jc w:val="center"/>
      </w:pPr>
      <w:r>
        <w:t>содержащихся в основной части местных нормативов</w:t>
      </w:r>
    </w:p>
    <w:p>
      <w:pPr>
        <w:pStyle w:val="para3"/>
        <w:spacing/>
        <w:jc w:val="center"/>
      </w:pPr>
      <w:r>
        <w:t xml:space="preserve">градостроительного проектирования </w:t>
      </w:r>
    </w:p>
    <w:p>
      <w:pPr>
        <w:pStyle w:val="para1"/>
        <w:spacing/>
        <w:jc w:val="both"/>
      </w:pPr>
      <w:r/>
    </w:p>
    <w:p>
      <w:pPr>
        <w:pStyle w:val="para1"/>
        <w:ind w:firstLine="540"/>
        <w:spacing/>
        <w:jc w:val="both"/>
      </w:pPr>
      <w:r>
        <w:t>2.1. Обоснование расчетных показателей и предельных значений расчетных показателей минимально допустимого уровня обеспеченности объектами в области автомобильных дорог местного значения регионального и местного значения населения,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w:t>
      </w:r>
    </w:p>
    <w:p>
      <w:pPr>
        <w:pStyle w:val="para1"/>
        <w:ind w:firstLine="540"/>
        <w:spacing/>
        <w:jc w:val="both"/>
      </w:pPr>
      <w:r>
        <w:t>Предельные значения расчетных показателей для объектов местного значения сельского поселения:</w:t>
      </w:r>
    </w:p>
    <w:p>
      <w:pPr>
        <w:pStyle w:val="para1"/>
        <w:ind w:firstLine="540"/>
        <w:spacing/>
        <w:jc w:val="both"/>
      </w:pPr>
      <w:r>
        <w:t xml:space="preserve">N 5.1 в части обеспеченности принят на основе </w:t>
      </w:r>
      <w:hyperlink r:id="rId20" w:history="1">
        <w:r>
          <w:rPr>
            <w:color w:val="0000ff"/>
          </w:rPr>
          <w:t>пункта 1.11</w:t>
        </w:r>
      </w:hyperlink>
      <w:r>
        <w:t xml:space="preserve"> "Руководства по проектированию городских улиц и дорог", разработанного ЦНИИП градостроительства.</w:t>
      </w:r>
    </w:p>
    <w:p>
      <w:pPr>
        <w:pStyle w:val="para1"/>
        <w:ind w:firstLine="540"/>
        <w:spacing/>
        <w:jc w:val="both"/>
      </w:pPr>
      <w:r>
        <w:t xml:space="preserve">N 5.2 в части обеспеченности принят на основе </w:t>
      </w:r>
      <w:hyperlink r:id="rId11" w:history="1">
        <w:r>
          <w:rPr>
            <w:color w:val="0000ff"/>
          </w:rPr>
          <w:t>СП 42.13330.2016</w:t>
        </w:r>
      </w:hyperlink>
      <w:r>
        <w:t xml:space="preserve"> (с последующими изменениями).</w:t>
      </w:r>
    </w:p>
    <w:p>
      <w:pPr>
        <w:pStyle w:val="para1"/>
        <w:ind w:firstLine="540"/>
        <w:spacing/>
        <w:jc w:val="both"/>
      </w:pPr>
      <w:r>
        <w:t xml:space="preserve">2.2. Обоснование расчетных показателей и предельных значений расчетных показателей минимально допустимого уровня обеспеченности объектами, обеспечивающими осуществление деятельности органов власти Пензенской области местного значения населения,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p>
    <w:p>
      <w:pPr>
        <w:pStyle w:val="para1"/>
        <w:ind w:firstLine="540"/>
        <w:spacing/>
        <w:jc w:val="both"/>
      </w:pPr>
      <w:r>
        <w:t>Предельные значения расчетных показателей для объектов местного значения сельского поселения:</w:t>
      </w:r>
    </w:p>
    <w:p>
      <w:pPr>
        <w:pStyle w:val="para1"/>
        <w:ind w:firstLine="540"/>
        <w:spacing/>
        <w:jc w:val="both"/>
      </w:pPr>
      <w:r>
        <w:t>N 4.1 в части:</w:t>
      </w:r>
    </w:p>
    <w:p>
      <w:pPr>
        <w:pStyle w:val="para1"/>
        <w:ind w:firstLine="540"/>
        <w:spacing/>
        <w:jc w:val="both"/>
      </w:pPr>
      <w:r>
        <w:t xml:space="preserve">- обеспеченности принят на основе </w:t>
      </w:r>
      <w:hyperlink r:id="rId21" w:history="1">
        <w:r>
          <w:rPr>
            <w:color w:val="0000ff"/>
          </w:rPr>
          <w:t>СНиП 31-05-2003</w:t>
        </w:r>
      </w:hyperlink>
      <w:r>
        <w:t>;</w:t>
      </w:r>
    </w:p>
    <w:p>
      <w:pPr>
        <w:pStyle w:val="para1"/>
        <w:ind w:firstLine="540"/>
        <w:spacing/>
        <w:jc w:val="both"/>
      </w:pPr>
      <w:r>
        <w:t xml:space="preserve">- территориальной доступности принят на основе </w:t>
      </w:r>
      <w:hyperlink r:id="rId11" w:history="1">
        <w:r>
          <w:rPr>
            <w:color w:val="0000ff"/>
          </w:rPr>
          <w:t>СП 42.13330.2016</w:t>
        </w:r>
      </w:hyperlink>
      <w:r>
        <w:t>.</w:t>
      </w:r>
    </w:p>
    <w:p>
      <w:pPr>
        <w:pStyle w:val="para1"/>
        <w:ind w:firstLine="540"/>
        <w:spacing/>
        <w:jc w:val="both"/>
      </w:pPr>
      <w:r>
        <w:t>2.3. Обоснование расчетных показателей и предельных значений расчетных показателей минимально допустимого уровня обеспеченности объектами инженерной инфраструктуры местного значения, в том числе линейными и объектами энергетики населения,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w:t>
      </w:r>
    </w:p>
    <w:p>
      <w:pPr>
        <w:pStyle w:val="para1"/>
        <w:ind w:firstLine="540"/>
        <w:spacing/>
        <w:jc w:val="both"/>
      </w:pPr>
      <w:r>
        <w:t>Предельные значения расчетных показателей для объектов местного значения сельского поселения:</w:t>
      </w:r>
    </w:p>
    <w:p>
      <w:pPr>
        <w:pStyle w:val="para1"/>
        <w:ind w:firstLine="540"/>
        <w:spacing/>
        <w:jc w:val="both"/>
      </w:pPr>
      <w:r>
        <w:t xml:space="preserve">N 2.1.1 в части обеспеченности принят на основе </w:t>
      </w:r>
      <w:hyperlink r:id="rId11" w:history="1">
        <w:r>
          <w:rPr>
            <w:color w:val="0000ff"/>
          </w:rPr>
          <w:t>СП 42.13330.2016</w:t>
        </w:r>
      </w:hyperlink>
      <w:r>
        <w:t>.</w:t>
      </w:r>
    </w:p>
    <w:p>
      <w:pPr>
        <w:pStyle w:val="para1"/>
        <w:ind w:firstLine="540"/>
        <w:spacing/>
        <w:jc w:val="both"/>
      </w:pPr>
      <w:r>
        <w:t xml:space="preserve">N 2.2.1, N 2.3.1 в части обеспеченности приняты на основе </w:t>
      </w:r>
      <w:hyperlink r:id="rId22" w:history="1">
        <w:r>
          <w:rPr>
            <w:color w:val="0000ff"/>
          </w:rPr>
          <w:t>СП 42-101-2003</w:t>
        </w:r>
      </w:hyperlink>
      <w:r>
        <w:t>.</w:t>
      </w:r>
    </w:p>
    <w:p>
      <w:pPr>
        <w:pStyle w:val="para1"/>
        <w:ind w:firstLine="540"/>
        <w:spacing/>
        <w:jc w:val="both"/>
      </w:pPr>
      <w:r>
        <w:t xml:space="preserve">N 2.4.1 в части обеспеченности принят на основе свода </w:t>
      </w:r>
      <w:hyperlink r:id="rId23" w:history="1">
        <w:r>
          <w:rPr>
            <w:color w:val="0000ff"/>
          </w:rPr>
          <w:t>правил</w:t>
        </w:r>
      </w:hyperlink>
      <w:r>
        <w:t xml:space="preserve"> "СП 31.13330.2012. Свод правил. Водоснабжение. Наружные сети и сооружения. Актуализированная редакция СНиП 2.04.02-84*", утвержденного Приказом Министерства регионального развития Российской Федерации от 29.12.2011 N 635/14 (с последующими изменениями).</w:t>
      </w:r>
    </w:p>
    <w:p>
      <w:pPr>
        <w:pStyle w:val="para1"/>
        <w:ind w:firstLine="540"/>
        <w:spacing/>
        <w:jc w:val="both"/>
      </w:pPr>
      <w:r>
        <w:t xml:space="preserve">N 2.5.1 в части обеспеченности принят на основе </w:t>
      </w:r>
      <w:hyperlink r:id="rId24" w:history="1">
        <w:r>
          <w:rPr>
            <w:color w:val="0000ff"/>
          </w:rPr>
          <w:t>свода</w:t>
        </w:r>
      </w:hyperlink>
      <w:r>
        <w:t xml:space="preserve"> правил "СП 32.13330.2018. Свод правил. Канализация. Наружные сети и сооружения. СНиП 2.04.03-85", утвержденного приказом Минстроя России от 25.12.2018 N 860/пр (с последующими изменениями).</w:t>
      </w:r>
    </w:p>
    <w:p>
      <w:pPr>
        <w:pStyle w:val="para1"/>
        <w:ind w:firstLine="540"/>
        <w:spacing/>
        <w:jc w:val="both"/>
      </w:pPr>
      <w:r>
        <w:t xml:space="preserve">2.4. Обоснование расчетных показателей и предельных значений расчетных показателей минимально допустимого уровня обеспеченности объектами в области культуры и досуга регионального и местного значения населения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w:t>
      </w:r>
    </w:p>
    <w:p>
      <w:pPr>
        <w:pStyle w:val="para1"/>
        <w:ind w:firstLine="540"/>
        <w:spacing/>
        <w:jc w:val="both"/>
      </w:pPr>
      <w:r>
        <w:t>Предельные значения расчетных показателей для объектов местного значения сельского поселения:</w:t>
      </w:r>
    </w:p>
    <w:p>
      <w:pPr>
        <w:pStyle w:val="para1"/>
        <w:ind w:firstLine="540"/>
        <w:spacing/>
        <w:jc w:val="both"/>
      </w:pPr>
      <w:r>
        <w:t>N 5.1.1 - N 5.1.3, N 5.2.1 в части обеспеченности и территориальной доступности приняты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pPr>
        <w:pStyle w:val="para1"/>
        <w:ind w:firstLine="540"/>
        <w:spacing/>
        <w:jc w:val="both"/>
      </w:pPr>
      <w:r>
        <w:t>N 5.2.2 в части:</w:t>
      </w:r>
    </w:p>
    <w:p>
      <w:pPr>
        <w:pStyle w:val="para1"/>
        <w:ind w:firstLine="540"/>
        <w:spacing/>
        <w:jc w:val="both"/>
      </w:pPr>
      <w:r>
        <w:t>- обеспеченности принят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pPr>
        <w:pStyle w:val="para1"/>
        <w:ind w:firstLine="540"/>
        <w:spacing/>
        <w:jc w:val="both"/>
      </w:pPr>
      <w:r>
        <w:t xml:space="preserve">- территориальной доступности принят на основе </w:t>
      </w:r>
      <w:hyperlink r:id="rId11" w:history="1">
        <w:r>
          <w:rPr>
            <w:color w:val="0000ff"/>
          </w:rPr>
          <w:t>СП 42.13330.2016</w:t>
        </w:r>
      </w:hyperlink>
      <w:r>
        <w:t>.</w:t>
      </w:r>
    </w:p>
    <w:p>
      <w:pPr>
        <w:pStyle w:val="para1"/>
        <w:ind w:firstLine="540"/>
        <w:spacing/>
        <w:jc w:val="both"/>
      </w:pPr>
      <w:r>
        <w:t>N 5.3.1 в части обеспеченности и территориальной доступности принят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pPr>
        <w:pStyle w:val="para1"/>
        <w:ind w:firstLine="540"/>
        <w:spacing/>
        <w:jc w:val="both"/>
      </w:pPr>
      <w:r>
        <w:t xml:space="preserve">2.5. Обоснование расчетных показателей и предельных значений расчетных показателей минимально допустимого уровня обеспеченности объектами в области физической культуры и спорта местного значения населения,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p>
    <w:p>
      <w:pPr>
        <w:pStyle w:val="para1"/>
        <w:ind w:firstLine="540"/>
        <w:spacing/>
        <w:jc w:val="both"/>
      </w:pPr>
      <w:r>
        <w:t>Предельные значения расчетных показателей для объектов местного значения сельского поселения:</w:t>
      </w:r>
    </w:p>
    <w:p>
      <w:pPr>
        <w:pStyle w:val="para1"/>
        <w:ind w:firstLine="540"/>
        <w:spacing/>
        <w:jc w:val="both"/>
      </w:pPr>
      <w:r>
        <w:t xml:space="preserve">N 5.1 в части обеспеченности и территориальной доступности принят на основе </w:t>
      </w:r>
      <w:hyperlink r:id="rId11" w:history="1">
        <w:r>
          <w:rPr>
            <w:color w:val="0000ff"/>
          </w:rPr>
          <w:t>СП 42.13330.2016</w:t>
        </w:r>
      </w:hyperlink>
      <w:r>
        <w:t xml:space="preserve"> (с последующими изменениями).</w:t>
      </w:r>
    </w:p>
    <w:p>
      <w:pPr>
        <w:pStyle w:val="para1"/>
        <w:ind w:firstLine="540"/>
        <w:spacing/>
        <w:jc w:val="both"/>
      </w:pPr>
      <w:r>
        <w:t>N 5.2 в части:</w:t>
      </w:r>
    </w:p>
    <w:p>
      <w:pPr>
        <w:pStyle w:val="para1"/>
        <w:ind w:firstLine="540"/>
        <w:spacing/>
        <w:jc w:val="both"/>
      </w:pPr>
      <w:r>
        <w:t>- обеспеченности принят на основе Методических рекомендаций по размещению объектов массового спорта в субъектах Российской Федерации;</w:t>
      </w:r>
    </w:p>
    <w:p>
      <w:pPr>
        <w:pStyle w:val="para1"/>
        <w:ind w:firstLine="540"/>
        <w:spacing/>
        <w:jc w:val="both"/>
      </w:pPr>
      <w:r>
        <w:t xml:space="preserve">- территориальной доступности принят на основе </w:t>
      </w:r>
      <w:hyperlink r:id="rId11" w:history="1">
        <w:r>
          <w:rPr>
            <w:color w:val="0000ff"/>
          </w:rPr>
          <w:t>СП 42.13330.2016</w:t>
        </w:r>
      </w:hyperlink>
      <w:r>
        <w:t xml:space="preserve"> (с последующими изменениями).</w:t>
      </w:r>
    </w:p>
    <w:p>
      <w:pPr>
        <w:pStyle w:val="para1"/>
        <w:ind w:firstLine="540"/>
        <w:spacing/>
        <w:jc w:val="both"/>
      </w:pPr>
      <w:r>
        <w:t xml:space="preserve">N 5.3 в части обеспеченности и территориальной доступности принят на основе </w:t>
      </w:r>
      <w:hyperlink r:id="rId11" w:history="1">
        <w:r>
          <w:rPr>
            <w:color w:val="0000ff"/>
          </w:rPr>
          <w:t>СП 42.13330.2016</w:t>
        </w:r>
      </w:hyperlink>
      <w:r>
        <w:t xml:space="preserve"> (с последующими изменениями).</w:t>
      </w:r>
    </w:p>
    <w:p>
      <w:pPr>
        <w:pStyle w:val="para1"/>
        <w:ind w:firstLine="540"/>
        <w:spacing/>
        <w:jc w:val="both"/>
      </w:pPr>
      <w:r>
        <w:t xml:space="preserve">N 5.4 в части обеспеченности и территориальной доступности принят на основе </w:t>
      </w:r>
      <w:hyperlink r:id="rId11" w:history="1">
        <w:r>
          <w:rPr>
            <w:color w:val="0000ff"/>
          </w:rPr>
          <w:t>СП 42.13330.2016</w:t>
        </w:r>
      </w:hyperlink>
      <w:r>
        <w:t xml:space="preserve"> (с последующими изменениями).</w:t>
      </w:r>
    </w:p>
    <w:p>
      <w:pPr>
        <w:pStyle w:val="para1"/>
        <w:ind w:firstLine="540"/>
        <w:spacing/>
        <w:jc w:val="both"/>
      </w:pPr>
      <w:r>
        <w:t xml:space="preserve">2.6. Обоснование предельных значений расчетных показателей минимально допустимого уровня обеспеченности объектами в области ритуальных услуг (места погребения) местного значения населения, предельных значений расчетных показателей максимально допустимого уровня территориальной доступности таких объектов для населения, </w:t>
      </w:r>
    </w:p>
    <w:p>
      <w:pPr>
        <w:pStyle w:val="para1"/>
        <w:ind w:firstLine="540"/>
        <w:spacing/>
        <w:jc w:val="both"/>
      </w:pPr>
      <w:r>
        <w:t>Предельные значения расчетных показателей для объектов местного значения сельского поселения:</w:t>
      </w:r>
    </w:p>
    <w:p>
      <w:pPr>
        <w:pStyle w:val="para1"/>
        <w:ind w:firstLine="540"/>
        <w:spacing/>
        <w:jc w:val="both"/>
      </w:pPr>
      <w:r>
        <w:t xml:space="preserve">N 2.1.1, N 2.1.2 в части обеспеченности и территориальной доступности приняты на основе </w:t>
      </w:r>
      <w:hyperlink r:id="rId11" w:history="1">
        <w:r>
          <w:rPr>
            <w:color w:val="0000ff"/>
          </w:rPr>
          <w:t>СП 42.13330.2016</w:t>
        </w:r>
      </w:hyperlink>
      <w:r>
        <w:t>.</w:t>
      </w:r>
    </w:p>
    <w:p>
      <w:pPr>
        <w:pStyle w:val="para1"/>
        <w:ind w:firstLine="540"/>
        <w:spacing/>
        <w:jc w:val="both"/>
      </w:pPr>
      <w:r>
        <w:t xml:space="preserve">N 2.1.3 в части обеспеченности и территориальной доступности принят на основе </w:t>
      </w:r>
      <w:hyperlink r:id="rId11" w:history="1">
        <w:r>
          <w:rPr>
            <w:color w:val="0000ff"/>
          </w:rPr>
          <w:t>СП 42.13330.2016</w:t>
        </w:r>
      </w:hyperlink>
      <w:r>
        <w:t>.</w:t>
      </w:r>
    </w:p>
    <w:p>
      <w:pPr>
        <w:pStyle w:val="para1"/>
        <w:ind w:firstLine="540"/>
        <w:spacing/>
        <w:jc w:val="both"/>
      </w:pPr>
      <w:r>
        <w:t>2.7. Обоснование предельных значений расчетных показателей минимально допустимого уровня обеспеченности объектами в области благоустройства местного значения населения Пензенской области,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w:t>
      </w:r>
    </w:p>
    <w:p>
      <w:pPr>
        <w:pStyle w:val="para1"/>
        <w:ind w:firstLine="540"/>
        <w:spacing/>
        <w:jc w:val="both"/>
      </w:pPr>
      <w:r>
        <w:t>Предельные значения расчетных показателей для объектов местного значения сельского поселения:</w:t>
      </w:r>
    </w:p>
    <w:p>
      <w:pPr>
        <w:pStyle w:val="para1"/>
        <w:ind w:firstLine="540"/>
        <w:spacing/>
        <w:jc w:val="both"/>
      </w:pPr>
      <w:r>
        <w:t xml:space="preserve">N 2.1, N 2.2 в части обеспеченности и территориальной доступности приняты на основе </w:t>
      </w:r>
      <w:hyperlink r:id="rId11" w:history="1">
        <w:r>
          <w:rPr>
            <w:color w:val="0000ff"/>
          </w:rPr>
          <w:t>СП 42.13330.2016</w:t>
        </w:r>
      </w:hyperlink>
      <w:r>
        <w:t xml:space="preserve"> (с последующими изменениями).</w:t>
      </w:r>
    </w:p>
    <w:p>
      <w:pPr>
        <w:pStyle w:val="para1"/>
        <w:ind w:firstLine="540"/>
        <w:spacing/>
        <w:jc w:val="both"/>
      </w:pPr>
      <w:r>
        <w:t xml:space="preserve">N 2.3.1, N 2.3.2, N 2.3.3, N 2.3.5 в части обеспеченности приняты на основе </w:t>
      </w:r>
      <w:hyperlink r:id="rId11" w:history="1">
        <w:r>
          <w:rPr>
            <w:color w:val="0000ff"/>
          </w:rPr>
          <w:t>СП 42.13330.2016</w:t>
        </w:r>
      </w:hyperlink>
      <w:r>
        <w:t xml:space="preserve"> (с последующими изменениями), </w:t>
      </w:r>
      <w:hyperlink r:id="rId25" w:history="1">
        <w:r>
          <w:rPr>
            <w:color w:val="0000ff"/>
          </w:rPr>
          <w:t>свода</w:t>
        </w:r>
      </w:hyperlink>
      <w:r>
        <w:t xml:space="preserve"> правил "СП 476.1325800.2020. Свод правил. Территории городских и сельских поселений. Правила планировки, застройки и благоустройства жилых микрорайонов", утвержденного приказом Минстроя России от 24.01.2020 N 33/пр) (далее - СП 476.1325800.2020).</w:t>
      </w:r>
    </w:p>
    <w:p>
      <w:pPr>
        <w:pStyle w:val="para1"/>
        <w:ind w:firstLine="540"/>
        <w:spacing/>
        <w:jc w:val="both"/>
      </w:pPr>
      <w:r>
        <w:t>N 2.3.4 в части:</w:t>
      </w:r>
    </w:p>
    <w:p>
      <w:pPr>
        <w:pStyle w:val="para1"/>
        <w:ind w:firstLine="540"/>
        <w:spacing/>
        <w:jc w:val="both"/>
      </w:pPr>
      <w:r>
        <w:t xml:space="preserve">- обеспеченности принят на основе </w:t>
      </w:r>
      <w:hyperlink r:id="rId11" w:history="1">
        <w:r>
          <w:rPr>
            <w:color w:val="0000ff"/>
          </w:rPr>
          <w:t>СП 42.13330.2016</w:t>
        </w:r>
      </w:hyperlink>
      <w:r>
        <w:t xml:space="preserve"> (с последующими изменениями), </w:t>
      </w:r>
      <w:hyperlink r:id="rId25" w:history="1">
        <w:r>
          <w:rPr>
            <w:color w:val="0000ff"/>
          </w:rPr>
          <w:t>СП 476.1325800.2020</w:t>
        </w:r>
      </w:hyperlink>
      <w:r>
        <w:t>;</w:t>
      </w:r>
    </w:p>
    <w:p>
      <w:pPr>
        <w:pStyle w:val="para1"/>
        <w:ind w:firstLine="540"/>
        <w:spacing/>
        <w:jc w:val="both"/>
      </w:pPr>
      <w:r>
        <w:t xml:space="preserve">- территориальной доступности принят на основе </w:t>
      </w:r>
      <w:hyperlink r:id="rId11" w:history="1">
        <w:r>
          <w:rPr>
            <w:color w:val="0000ff"/>
          </w:rPr>
          <w:t>СП 42.13330.2016</w:t>
        </w:r>
      </w:hyperlink>
      <w:r>
        <w:t xml:space="preserve"> (с последующими изменениями).</w:t>
      </w:r>
    </w:p>
    <w:p>
      <w:pPr>
        <w:pStyle w:val="para1"/>
        <w:ind w:firstLine="540"/>
        <w:spacing/>
        <w:jc w:val="both"/>
      </w:pPr>
      <w:r>
        <w:t>2.7.1 Обоснование предельных значений расчетных показателей минимально допустимого уровня обеспеченности объектами в области хранения и (или) паркования транспортных средств местного значения населения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N 1 в части:</w:t>
      </w:r>
    </w:p>
    <w:p>
      <w:pPr>
        <w:pStyle w:val="para1"/>
        <w:ind w:firstLine="540"/>
        <w:spacing/>
        <w:jc w:val="both"/>
      </w:pPr>
      <w:r>
        <w:t xml:space="preserve">- обеспеченности принят на основе </w:t>
      </w:r>
      <w:hyperlink r:id="rId25" w:history="1">
        <w:r>
          <w:rPr>
            <w:color w:val="0000ff"/>
          </w:rPr>
          <w:t>свода</w:t>
        </w:r>
      </w:hyperlink>
      <w:r>
        <w:t xml:space="preserve"> правил "СП 476.1325800.2020. Свод правил. Территории городских и сельских поселений. Правила планировки, застройки и благоустройства жилых микрорайонов", утвержденного и введенного в действие приказом Минстроя России от 24.01.2020 N 33/пр, с учетом показателей жилищной обеспеченности в среднем на одного жителя - 35 кв. м согласно </w:t>
      </w:r>
      <w:hyperlink r:id="rId26" w:history="1">
        <w:r>
          <w:rPr>
            <w:color w:val="0000ff"/>
          </w:rPr>
          <w:t>Стратегии</w:t>
        </w:r>
      </w:hyperlink>
      <w:r>
        <w:t xml:space="preserve"> социально-экономического развития Пензенской области на период до 2035 года, утвержденной Законом Пензенской области от 15.05.2019 N 3323-ЗПО "О Стратегии социально-экономического развития Пензенской области на период до 2035 года" (с последующими изменениями) (далее - стратегия), уровня автомобилизации на расчетный срок - 399 легковых автомобилей на 1000 человек населения Пензенской области. Расчетный срок принят - до 2035 года согласно периоду стратегии и периоду прогноза социально-экономического развития Пензенской области на долгосрочный период (до 2035 года), утвержденного распоряжением Правительства Пензенской области от 26.08.2015 N 344-рП (с последующими изменениями). При расчете уровня автомобилизации были использованы размещенные на официальном сайте Федеральной службы государственной статистики (Росстат) данные о числе собственных легковых автомобилей на 1000 человек населения по Пензенской области;</w:t>
      </w:r>
    </w:p>
    <w:p>
      <w:pPr>
        <w:pStyle w:val="para1"/>
        <w:ind w:firstLine="540"/>
        <w:spacing/>
        <w:jc w:val="both"/>
      </w:pPr>
      <w:r>
        <w:t xml:space="preserve">- территориальной доступности принят на основе </w:t>
      </w:r>
      <w:hyperlink r:id="rId11" w:history="1">
        <w:r>
          <w:rPr>
            <w:color w:val="0000ff"/>
          </w:rPr>
          <w:t>свода</w:t>
        </w:r>
      </w:hyperlink>
      <w:r>
        <w:t xml:space="preserve"> правил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N 1034/пр (с последующими изменениями) (далее - СП 42.13330.2016 (с последующими изменениями)).</w:t>
      </w:r>
    </w:p>
    <w:p>
      <w:pPr>
        <w:pStyle w:val="para1"/>
        <w:ind w:firstLine="540"/>
        <w:spacing/>
        <w:jc w:val="both"/>
      </w:pPr>
      <w:r>
        <w:t xml:space="preserve">N 2.1 - N 2.2, N 2.5 - N 2.12, N 2.14 - N 2.33 в части обеспеченности и территориальной доступности приняты на основе </w:t>
      </w:r>
      <w:hyperlink r:id="rId11" w:history="1">
        <w:r>
          <w:rPr>
            <w:color w:val="0000ff"/>
          </w:rPr>
          <w:t>СП 42.13330.2016</w:t>
        </w:r>
      </w:hyperlink>
      <w:r>
        <w:t xml:space="preserve"> (с последующими изменениями).</w:t>
      </w:r>
    </w:p>
    <w:p>
      <w:pPr>
        <w:pStyle w:val="para1"/>
        <w:ind w:firstLine="540"/>
        <w:spacing/>
        <w:jc w:val="both"/>
      </w:pPr>
      <w:r>
        <w:t>N 2.13 в части:</w:t>
      </w:r>
    </w:p>
    <w:p>
      <w:pPr>
        <w:pStyle w:val="para1"/>
        <w:ind w:firstLine="540"/>
        <w:spacing/>
        <w:jc w:val="both"/>
      </w:pPr>
      <w:r>
        <w:t xml:space="preserve">- обеспеченности принят на основе </w:t>
      </w:r>
      <w:hyperlink r:id="rId11" w:history="1">
        <w:r>
          <w:rPr>
            <w:color w:val="0000ff"/>
          </w:rPr>
          <w:t>СП 42.13330.2016</w:t>
        </w:r>
      </w:hyperlink>
      <w:r>
        <w:t xml:space="preserve"> (с последующими изменениями), </w:t>
      </w:r>
      <w:hyperlink r:id="rId27" w:history="1">
        <w:r>
          <w:rPr>
            <w:color w:val="0000ff"/>
          </w:rPr>
          <w:t>свода</w:t>
        </w:r>
      </w:hyperlink>
      <w:r>
        <w:t xml:space="preserve"> правил "СП 309.1325800.2017. Свод правил. Здания театрально-зрелищные. Правила проектирования", утвержденного приказом Минстроя России от 29.08.2017 N 1179/пр;</w:t>
      </w:r>
    </w:p>
    <w:p>
      <w:pPr>
        <w:pStyle w:val="para1"/>
        <w:ind w:firstLine="540"/>
        <w:spacing/>
        <w:jc w:val="both"/>
      </w:pPr>
      <w:r>
        <w:t xml:space="preserve">- территориальной доступности принят на основе </w:t>
      </w:r>
      <w:hyperlink r:id="rId11" w:history="1">
        <w:r>
          <w:rPr>
            <w:color w:val="0000ff"/>
          </w:rPr>
          <w:t>СП 42.13330.2016</w:t>
        </w:r>
      </w:hyperlink>
      <w:r>
        <w:t xml:space="preserve"> (с последующими изменениями).</w:t>
      </w:r>
    </w:p>
    <w:p>
      <w:pPr>
        <w:pStyle w:val="para1"/>
        <w:ind w:firstLine="540"/>
        <w:spacing/>
        <w:jc w:val="both"/>
      </w:pPr>
      <w:r>
        <w:t>N 2.4 в части:</w:t>
      </w:r>
    </w:p>
    <w:p>
      <w:pPr>
        <w:pStyle w:val="para1"/>
        <w:ind w:firstLine="540"/>
        <w:spacing/>
        <w:jc w:val="both"/>
      </w:pPr>
      <w:r>
        <w:t xml:space="preserve">- обеспеченности принят на основе свода </w:t>
      </w:r>
      <w:hyperlink r:id="rId28" w:history="1">
        <w:r>
          <w:rPr>
            <w:color w:val="0000ff"/>
          </w:rPr>
          <w:t>правил</w:t>
        </w:r>
      </w:hyperlink>
      <w:r>
        <w:t xml:space="preserve"> "СП 251.1325800.2016. Свод правил. Здания общеобразовательных организаций. Правила проектирования", утвержденных Приказом Минстроя России от 17.08.2016 N 572/пр) (с последующими изменениями).</w:t>
      </w:r>
    </w:p>
    <w:p>
      <w:pPr>
        <w:pStyle w:val="para1"/>
        <w:ind w:firstLine="540"/>
        <w:spacing/>
        <w:jc w:val="both"/>
      </w:pPr>
      <w:r>
        <w:t xml:space="preserve">- территориальной доступности принят на основе </w:t>
      </w:r>
      <w:hyperlink r:id="rId11" w:history="1">
        <w:r>
          <w:rPr>
            <w:color w:val="0000ff"/>
          </w:rPr>
          <w:t>СП 42.13330.2016</w:t>
        </w:r>
      </w:hyperlink>
      <w:r>
        <w:t xml:space="preserve"> (с последующими изменениями).</w:t>
      </w:r>
    </w:p>
    <w:p>
      <w:pPr>
        <w:pStyle w:val="para1"/>
        <w:ind w:firstLine="540"/>
        <w:spacing/>
        <w:jc w:val="both"/>
      </w:pPr>
      <w:r>
        <w:t xml:space="preserve">2.8. Обоснование предельных значений расчетных показателей минимально допустимого уровня обеспеченности объектами инфраструктуры велосипедного транспорта населения и предельных значений расчетных показателей максимально допустимого уровня территориальной доступности таких объектов для населения, </w:t>
      </w:r>
    </w:p>
    <w:p>
      <w:pPr>
        <w:pStyle w:val="para1"/>
        <w:ind w:firstLine="540"/>
        <w:spacing/>
        <w:jc w:val="both"/>
      </w:pPr>
      <w:r>
        <w:t xml:space="preserve">N 1.1 - N 1.5, N 2.1 в части обеспеченности приняты на основе </w:t>
      </w:r>
      <w:hyperlink r:id="rId11" w:history="1">
        <w:r>
          <w:rPr>
            <w:color w:val="0000ff"/>
          </w:rPr>
          <w:t>свода</w:t>
        </w:r>
      </w:hyperlink>
      <w:r>
        <w:t xml:space="preserve"> правил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N 1034/пр (с последующими изменениями), Методических </w:t>
      </w:r>
      <w:hyperlink r:id="rId29" w:history="1">
        <w:r>
          <w:rPr>
            <w:color w:val="0000ff"/>
          </w:rPr>
          <w:t>рекомендаций</w:t>
        </w:r>
      </w:hyperlink>
      <w:r>
        <w:t xml:space="preserve"> для подготовки правил благоустройства территорий поселений, городских округов, внутригородских районов, утвержденных приказом Министерства строительства и жилищно-коммунального хозяйства Российской Федерации от 13.04.2017 N 711/пр, Методических рекомендаций по разработке и реализации мероприятий по организации дорожного движения. Требований к планированию развития инфраструктуры велосипедного транспорта поселений, городских округов в Российской Федерации, согласованных Минтрансом России 24.07.2018 (одобренных протоколом Научно-технического совета открытого акционерного общества "Научно-исследовательский институт автомобильного транспорта" от 25 апреля 2017 г. N 2 и Межведомственным координационным комитетом проекта ПРООН/ГЭФ-Минтранса России "Сокращение выбросов парниковых газов от автомобильного транспорта в городах России" 5 октября 2017 года), </w:t>
      </w:r>
      <w:hyperlink r:id="rId30" w:history="1">
        <w:r>
          <w:rPr>
            <w:color w:val="0000ff"/>
          </w:rPr>
          <w:t>ГОСТ 33150-2014</w:t>
        </w:r>
      </w:hyperlink>
      <w:r>
        <w:t>. Межгосударственный стандарт. Дороги автомобильные общего пользования. Проектирование пешеходных и велосипедных дорожек. Общие требования, введенного в действие приказом Росстандарта от 31.08.2015 N 1206-ст.</w:t>
      </w:r>
    </w:p>
    <w:p>
      <w:pPr>
        <w:pStyle w:val="para1"/>
        <w:spacing/>
        <w:jc w:val="both"/>
      </w:pPr>
      <w:r/>
    </w:p>
    <w:p>
      <w:pPr>
        <w:pStyle w:val="para3"/>
        <w:spacing/>
        <w:jc w:val="center"/>
        <w:outlineLvl w:val="1"/>
      </w:pPr>
      <w:r>
        <w:t>3. Правила и область применения расчетных показателей,</w:t>
      </w:r>
    </w:p>
    <w:p>
      <w:pPr>
        <w:pStyle w:val="para3"/>
        <w:spacing/>
        <w:jc w:val="center"/>
      </w:pPr>
      <w:r>
        <w:t>содержащихся в основной части местных нормативов</w:t>
      </w:r>
    </w:p>
    <w:p>
      <w:pPr>
        <w:pStyle w:val="para3"/>
        <w:spacing/>
        <w:jc w:val="center"/>
      </w:pPr>
      <w:r>
        <w:t xml:space="preserve">градостроительного проектирования </w:t>
      </w:r>
    </w:p>
    <w:p>
      <w:pPr>
        <w:pStyle w:val="para3"/>
        <w:spacing/>
        <w:jc w:val="center"/>
      </w:pPr>
      <w:r/>
    </w:p>
    <w:p>
      <w:pPr>
        <w:pStyle w:val="para1"/>
        <w:ind w:firstLine="540"/>
        <w:spacing/>
        <w:jc w:val="both"/>
      </w:pPr>
      <w:r>
        <w:t>3.1. Область применения расчетных показателей местных нормативов градостроительного проектирования.</w:t>
      </w:r>
    </w:p>
    <w:p>
      <w:pPr>
        <w:pStyle w:val="para1"/>
        <w:ind w:firstLine="540"/>
        <w:spacing/>
        <w:jc w:val="both"/>
      </w:pPr>
      <w:r>
        <w:t xml:space="preserve">Действие расчетных показателей нормативов градостроительного проектирования распространяется на всю территорию поселения в отношении объектов местного значения, виды которых установлены в </w:t>
      </w:r>
      <w:hyperlink r:id="rId31" w:history="1">
        <w:r>
          <w:rPr>
            <w:color w:val="0000ff"/>
          </w:rPr>
          <w:t>статьях 9-1</w:t>
        </w:r>
      </w:hyperlink>
      <w:r>
        <w:t xml:space="preserve">, </w:t>
      </w:r>
      <w:hyperlink r:id="rId32" w:history="1">
        <w:r>
          <w:rPr>
            <w:color w:val="0000ff"/>
          </w:rPr>
          <w:t>9-2</w:t>
        </w:r>
      </w:hyperlink>
      <w:r>
        <w:t xml:space="preserve"> Градостроительного устава Пензенской области, иных объектов местного значения.</w:t>
      </w:r>
    </w:p>
    <w:p>
      <w:pPr>
        <w:pStyle w:val="para1"/>
        <w:ind w:firstLine="540"/>
        <w:spacing/>
        <w:jc w:val="both"/>
      </w:pPr>
      <w:r>
        <w:t>Правительством Российской Федерации могут быть предусмотрены иные расчетные показатели, подлежащие установлению в нормативах градостроительного проектирования.</w:t>
      </w:r>
    </w:p>
    <w:p>
      <w:pPr>
        <w:pStyle w:val="para1"/>
        <w:ind w:firstLine="540"/>
        <w:spacing/>
        <w:jc w:val="both"/>
      </w:pPr>
      <w:r>
        <w:t>Нормативы градостроительного проектирования являются обязательными для применения при подготовке:</w:t>
      </w:r>
    </w:p>
    <w:p>
      <w:pPr>
        <w:pStyle w:val="para1"/>
        <w:ind w:firstLine="540"/>
        <w:spacing/>
        <w:jc w:val="both"/>
      </w:pPr>
      <w:r>
        <w:t>- документов территориального планирования;</w:t>
      </w:r>
    </w:p>
    <w:p>
      <w:pPr>
        <w:pStyle w:val="para1"/>
        <w:ind w:firstLine="540"/>
        <w:spacing/>
        <w:jc w:val="both"/>
      </w:pPr>
      <w:r>
        <w:t>- документов градостроительного зонирования;</w:t>
      </w:r>
    </w:p>
    <w:p>
      <w:pPr>
        <w:pStyle w:val="para1"/>
        <w:ind w:firstLine="540"/>
        <w:spacing/>
        <w:jc w:val="both"/>
      </w:pPr>
      <w:r>
        <w:t>- документации по планировке территории в отношении планируемых к размещению объектов регионального значения и (или) объектов местного значения.</w:t>
      </w:r>
    </w:p>
    <w:p>
      <w:pPr>
        <w:pStyle w:val="para1"/>
        <w:ind w:firstLine="540"/>
        <w:spacing/>
        <w:jc w:val="both"/>
      </w:pPr>
      <w:r>
        <w:t>Расчетные показатели нормативов градостроительного проектирования также применяются:</w:t>
      </w:r>
    </w:p>
    <w:p>
      <w:pPr>
        <w:pStyle w:val="para1"/>
        <w:ind w:firstLine="540"/>
        <w:spacing/>
        <w:jc w:val="both"/>
      </w:pPr>
      <w:r>
        <w:t>- при проведении общественных обсуждений или публичных слушаний по проектам генеральных планов, по правилам землепользования и застройки, проектам планировки территорий и проектам межевания территорий, подготовленным в составе документации по планировке территорий;</w:t>
      </w:r>
    </w:p>
    <w:p>
      <w:pPr>
        <w:pStyle w:val="para1"/>
        <w:ind w:firstLine="540"/>
        <w:spacing/>
        <w:jc w:val="both"/>
      </w:pPr>
      <w:r>
        <w:t>- в других случаях, когда требуется учет и соблюдение расчетных показателей минимально допустимого уровня обеспеченности предельных значений расчетных показателей минимально допустимого уровня обеспеченности объектами местного значения населения и предельных значений расчетных показателей максимально допустимого уровня территориальной доступности таких объектов для населения.</w:t>
      </w:r>
    </w:p>
    <w:p>
      <w:pPr>
        <w:pStyle w:val="para1"/>
        <w:ind w:firstLine="540"/>
        <w:spacing/>
        <w:jc w:val="both"/>
      </w:pPr>
      <w:r>
        <w:t>При отмене и (или) изменении действующих нормативных документов Российской Федерации, в том числе тех, требования которых были учтены при подготовке настоящих нормативов градостроительного проектирования и на которые дается ссылка в настоящих нормативах, следует руководствоваться нормами, вводимыми взамен отмененных.</w:t>
      </w:r>
    </w:p>
    <w:p>
      <w:pPr>
        <w:pStyle w:val="para1"/>
        <w:ind w:firstLine="540"/>
        <w:spacing/>
        <w:jc w:val="both"/>
      </w:pPr>
      <w:r>
        <w:t>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w:t>
      </w:r>
    </w:p>
    <w:p>
      <w:pPr>
        <w:pStyle w:val="para1"/>
        <w:ind w:firstLine="540"/>
        <w:spacing/>
        <w:jc w:val="both"/>
      </w:pPr>
      <w:r>
        <w:t>3.2. Правила применения расчетных показателей нормативов градостроительного проектирования.</w:t>
      </w:r>
    </w:p>
    <w:p>
      <w:pPr>
        <w:pStyle w:val="para1"/>
        <w:ind w:firstLine="540"/>
        <w:spacing/>
        <w:jc w:val="both"/>
      </w:pPr>
      <w:r>
        <w:t>Установление совокупности расчетных показателей минимально допустимого уровня обеспеченности объектами регионального значения населения Пензенской области и расчетных показателей максимально допустимого уровня территориальной доступности таких объектов для населения Пензенской области,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и предельных значений расчетных показателей максимально допустимого уровня территориальной доступности таких объектов для населения производится для определения местоположения планируемых к размещению объектов местного значения муниципальных образований в документах территориального планирования, границ зон планируемого размещения таких объектов 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pPr>
        <w:pStyle w:val="para1"/>
        <w:ind w:firstLine="540"/>
        <w:spacing/>
        <w:jc w:val="both"/>
      </w:pPr>
      <w:r>
        <w:t>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и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указанных объектов и нормы отвода земель для таких объектов.</w:t>
      </w:r>
    </w:p>
    <w:sectPr>
      <w:footnotePr>
        <w:pos w:val="pageBottom"/>
        <w:numFmt w:val="decimal"/>
        <w:numStart w:val="1"/>
        <w:numRestart w:val="continuous"/>
      </w:footnotePr>
      <w:endnotePr>
        <w:pos w:val="docEnd"/>
        <w:numFmt w:val="decimal"/>
        <w:numStart w:val="1"/>
        <w:numRestart w:val="continuous"/>
      </w:endnotePr>
      <w:type w:val="nextPage"/>
      <w:pgSz w:h="16838" w:w="11906"/>
      <w:pgMar w:left="1133" w:top="1440" w:right="795" w:bottom="1440" w:header="0" w:footer="0"/>
      <w:paperSrc w:first="0" w:other="0" a="0" b="0"/>
      <w:pgNumType w:fmt="decimal"/>
      <w:tmGutter w:val="3"/>
      <w:mirrorMargins w:val="0"/>
      <w:tmSection w:h="-2"/>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font>
  <w:font w:name="SimSun">
    <w:panose1 w:val="02010600030101010101"/>
    <w:charset w:val="00"/>
    <w:family w:val="auto"/>
    <w:pitch w:val="default"/>
  </w:font>
  <w:font w:name="Arial">
    <w:panose1 w:val="020B0604020202020204"/>
    <w:charset w:val="cc"/>
    <w:family w:val="swiss"/>
    <w:pitch w:val="default"/>
  </w:font>
  <w:font w:name="Calibri">
    <w:panose1 w:val="020F0502020204030204"/>
    <w:charset w:val="cc"/>
    <w:family w:val="swiss"/>
    <w:pitch w:val="default"/>
  </w:font>
  <w:font w:name="Courier New">
    <w:panose1 w:val="02070309020205020404"/>
    <w:charset w:val="cc"/>
    <w:family w:val="modern"/>
    <w:pitch w:val="default"/>
  </w:font>
  <w:font w:name="Tahoma">
    <w:panose1 w:val="020B0604030504040204"/>
    <w:charset w:val="cc"/>
    <w:family w:val="swiss"/>
    <w:pitch w:val="default"/>
  </w:font>
  <w:font w:name="Calibri Light">
    <w:panose1 w:val="020F0302020204030204"/>
    <w:charset w:val="cc"/>
    <w:family w:val="swiss"/>
    <w:pitch w:val="default"/>
  </w:font>
  <w:font w:name="Liberation Mono">
    <w:panose1 w:val="020B0604020202020204"/>
    <w:charset w:val="00"/>
    <w:family w:val="auto"/>
    <w:pitch w:val="default"/>
  </w:font>
  <w:font w:name="NSimSun">
    <w:panose1 w:val="02010609030101010101"/>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8"/>
  <w:autoHyphenation w:val="0"/>
  <w:doNotShadeFormData w:val="0"/>
  <w:captions>
    <w:caption w:name="Таблица" w:pos="below" w:numFmt="decimal"/>
    <w:caption w:name="Рисунок" w:pos="below" w:numFmt="decimal"/>
    <w:caption w:name="Изображение" w:pos="below" w:numFmt="decimal"/>
  </w:captions>
  <w:drawingGridHorizontalSpacing w:val="110"/>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compatSetting w:name="compatibilityMode" w:uri="http://schemas.microsoft.com/office/word" w:val="15"/>
  <w:shapeDefaults>
    <o:shapedefaults v:ext="edit" spidmax="1026"/>
    <o:shapelayout v:ext="edit">
      <o:rules v:ext="edit"/>
    </o:shapelayout>
  </w:shapeDefaults>
  <w:tmPrefOne w:val="17"/>
  <w:tmPrefTwo w:val="1"/>
  <w:tmFmtPref w:val="55065707"/>
  <w:tmCommentsPr>
    <w:tmCommentsPlace w:val="0"/>
    <w:tmCommentsWidth w:val="3119"/>
    <w:tmCommentsColor w:val="-1"/>
  </w:tmCommentsPr>
  <w:tmReviewPr>
    <w:tmReviewEnabled w:val="0"/>
    <w:tmReviewShow w:val="1"/>
    <w:tmReviewPrint w:val="0"/>
    <w:tmRevisionNum w:val="8"/>
    <w:tmReviewMarkIns w:val="4"/>
    <w:tmReviewColorIns w:val="-1"/>
    <w:tmReviewMarkDel w:val="6"/>
    <w:tmReviewColorDel w:val="-1"/>
    <w:tmReviewMarkFmt w:val="1"/>
    <w:tmReviewColorFmt w:val="-1"/>
    <w:tmReviewMarkLn w:val="1"/>
    <w:tmReviewColorLn w:val="0"/>
    <w:tmReviewToolTip w:val="1"/>
  </w:tmReviewPr>
  <w:tmLastPos>
    <w:tmLastPosPage w:val="0"/>
    <w:tmLastPosSelect w:val="0"/>
    <w:tmLastPosFrameIdx w:val="0"/>
    <w:tmLastPosCaret>
      <w:tmLastPosPgfIdx w:val="0"/>
      <w:tmLastPosIdx w:val="7"/>
    </w:tmLastPosCaret>
    <w:tmLastPosAnchor>
      <w:tmLastPosPgfIdx w:val="0"/>
      <w:tmLastPosIdx w:val="0"/>
    </w:tmLastPosAnchor>
    <w:tmLastPosTblRect w:left="0" w:top="0" w:right="0" w:bottom="0"/>
  </w:tmLastPos>
  <w:tmAppRevision w:date="1625123939" w:val="982" w:fileVer="342" w:fileVerOS="4"/>
  <w:guidesAndGrid showGuides="1" lockGuides="0" snapToGuides="1" snapToPageMargins="0" tolerance="8" gridDistanceHorizontal="110"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Times New Roman"/>
        <w:sz w:val="22"/>
        <w:szCs w:val="22"/>
        <w:lang w:val="ru-ru" w:eastAsia="zh-cn" w:bidi="ar-sa"/>
      </w:rPr>
    </w:rPrDefault>
    <w:pPrDefault>
      <w:pPr>
        <w:spacing w:after="160" w:line="259"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customStyle="1">
    <w:name w:val="ConsPlusNormal"/>
    <w:qFormat/>
    <w:pPr>
      <w:spacing w:after="0" w:line="240" w:lineRule="auto"/>
      <w:widowControl w:val="0"/>
    </w:pPr>
    <w:rPr>
      <w:rFonts w:ascii="Arial" w:hAnsi="Arial" w:cs="Arial"/>
      <w:lang w:val="ru-ru" w:bidi="ar-sa"/>
    </w:rPr>
  </w:style>
  <w:style w:type="paragraph" w:styleId="para2" w:customStyle="1">
    <w:name w:val="ConsPlusNonformat"/>
    <w:qFormat/>
    <w:pPr>
      <w:spacing w:after="0" w:line="240" w:lineRule="auto"/>
      <w:widowControl w:val="0"/>
    </w:pPr>
    <w:rPr>
      <w:rFonts w:ascii="Courier New" w:hAnsi="Courier New" w:cs="Courier New"/>
      <w:lang w:val="ru-ru" w:bidi="ar-sa"/>
    </w:rPr>
  </w:style>
  <w:style w:type="paragraph" w:styleId="para3" w:customStyle="1">
    <w:name w:val="ConsPlusTitle"/>
    <w:qFormat/>
    <w:pPr>
      <w:spacing w:after="0" w:line="240" w:lineRule="auto"/>
      <w:widowControl w:val="0"/>
    </w:pPr>
    <w:rPr>
      <w:rFonts w:ascii="Arial" w:hAnsi="Arial" w:cs="Arial"/>
      <w:b/>
      <w:lang w:val="ru-ru" w:bidi="ar-sa"/>
    </w:rPr>
  </w:style>
  <w:style w:type="paragraph" w:styleId="para4" w:customStyle="1">
    <w:name w:val="ConsPlusCell"/>
    <w:qFormat/>
    <w:pPr>
      <w:spacing w:after="0" w:line="240" w:lineRule="auto"/>
      <w:widowControl w:val="0"/>
    </w:pPr>
    <w:rPr>
      <w:rFonts w:ascii="Courier New" w:hAnsi="Courier New" w:cs="Courier New"/>
      <w:lang w:val="ru-ru" w:bidi="ar-sa"/>
    </w:rPr>
  </w:style>
  <w:style w:type="paragraph" w:styleId="para5" w:customStyle="1">
    <w:name w:val="ConsPlusDocList"/>
    <w:qFormat/>
    <w:pPr>
      <w:spacing w:after="0" w:line="240" w:lineRule="auto"/>
      <w:widowControl w:val="0"/>
    </w:pPr>
    <w:rPr>
      <w:rFonts w:ascii="Courier New" w:hAnsi="Courier New" w:cs="Courier New"/>
      <w:lang w:val="ru-ru" w:bidi="ar-sa"/>
    </w:rPr>
  </w:style>
  <w:style w:type="paragraph" w:styleId="para6" w:customStyle="1">
    <w:name w:val="ConsPlusTitlePage"/>
    <w:qFormat/>
    <w:pPr>
      <w:spacing w:after="0" w:line="240" w:lineRule="auto"/>
      <w:widowControl w:val="0"/>
    </w:pPr>
    <w:rPr>
      <w:rFonts w:ascii="Tahoma" w:hAnsi="Tahoma" w:cs="Tahoma"/>
      <w:lang w:val="ru-ru" w:bidi="ar-sa"/>
    </w:rPr>
  </w:style>
  <w:style w:type="paragraph" w:styleId="para7" w:customStyle="1">
    <w:name w:val="ConsPlusJurTerm"/>
    <w:qFormat/>
    <w:pPr>
      <w:spacing w:after="0" w:line="240" w:lineRule="auto"/>
      <w:widowControl w:val="0"/>
    </w:pPr>
    <w:rPr>
      <w:rFonts w:ascii="Tahoma" w:hAnsi="Tahoma" w:cs="Tahoma"/>
      <w:sz w:val="26"/>
      <w:lang w:val="ru-ru" w:bidi="ar-sa"/>
    </w:rPr>
  </w:style>
  <w:style w:type="paragraph" w:styleId="para8" w:customStyle="1">
    <w:name w:val="ConsPlusTextList"/>
    <w:qFormat/>
    <w:pPr>
      <w:spacing w:after="0" w:line="240" w:lineRule="auto"/>
      <w:widowControl w:val="0"/>
    </w:pPr>
    <w:rPr>
      <w:rFonts w:ascii="Arial" w:hAnsi="Arial" w:cs="Arial"/>
      <w:lang w:val="ru-ru" w:bidi="ar-sa"/>
    </w:rPr>
  </w:style>
  <w:style w:type="paragraph" w:styleId="para9" w:customStyle="1">
    <w:name w:val="Текст в заданном формате"/>
    <w:qFormat/>
    <w:basedOn w:val="para0"/>
    <w:pPr>
      <w:spacing w:after="0" w:line="240" w:lineRule="auto"/>
    </w:pPr>
    <w:rPr>
      <w:rFonts w:ascii="Liberation Mono" w:hAnsi="Liberation Mono" w:eastAsia="NSimSun" w:cs="Liberation Mono"/>
      <w:kern w:val="1"/>
      <w:sz w:val="20"/>
      <w:szCs w:val="20"/>
      <w:lang w:eastAsia="zh-cn" w:bidi="hi-in"/>
    </w:rPr>
  </w:style>
  <w:style w:type="character" w:styleId="char0" w:default="1">
    <w:name w:val="Default Paragraph Font"/>
  </w:style>
  <w:style w:type="table" w:default="1" w:styleId="TableNormal">
    <w:name w:val="Обычная таблица"/>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hAnsi="Calibri" w:eastAsia="Calibri" w:cs="Times New Roman"/>
        <w:sz w:val="22"/>
        <w:szCs w:val="22"/>
        <w:lang w:val="ru-ru" w:eastAsia="zh-cn" w:bidi="ar-sa"/>
      </w:rPr>
    </w:rPrDefault>
    <w:pPrDefault>
      <w:pPr>
        <w:spacing w:after="160" w:line="259"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customStyle="1">
    <w:name w:val="ConsPlusNormal"/>
    <w:qFormat/>
    <w:pPr>
      <w:spacing w:after="0" w:line="240" w:lineRule="auto"/>
      <w:widowControl w:val="0"/>
    </w:pPr>
    <w:rPr>
      <w:rFonts w:ascii="Arial" w:hAnsi="Arial" w:cs="Arial"/>
      <w:lang w:val="ru-ru" w:bidi="ar-sa"/>
    </w:rPr>
  </w:style>
  <w:style w:type="paragraph" w:styleId="para2" w:customStyle="1">
    <w:name w:val="ConsPlusNonformat"/>
    <w:qFormat/>
    <w:pPr>
      <w:spacing w:after="0" w:line="240" w:lineRule="auto"/>
      <w:widowControl w:val="0"/>
    </w:pPr>
    <w:rPr>
      <w:rFonts w:ascii="Courier New" w:hAnsi="Courier New" w:cs="Courier New"/>
      <w:lang w:val="ru-ru" w:bidi="ar-sa"/>
    </w:rPr>
  </w:style>
  <w:style w:type="paragraph" w:styleId="para3" w:customStyle="1">
    <w:name w:val="ConsPlusTitle"/>
    <w:qFormat/>
    <w:pPr>
      <w:spacing w:after="0" w:line="240" w:lineRule="auto"/>
      <w:widowControl w:val="0"/>
    </w:pPr>
    <w:rPr>
      <w:rFonts w:ascii="Arial" w:hAnsi="Arial" w:cs="Arial"/>
      <w:b/>
      <w:lang w:val="ru-ru" w:bidi="ar-sa"/>
    </w:rPr>
  </w:style>
  <w:style w:type="paragraph" w:styleId="para4" w:customStyle="1">
    <w:name w:val="ConsPlusCell"/>
    <w:qFormat/>
    <w:pPr>
      <w:spacing w:after="0" w:line="240" w:lineRule="auto"/>
      <w:widowControl w:val="0"/>
    </w:pPr>
    <w:rPr>
      <w:rFonts w:ascii="Courier New" w:hAnsi="Courier New" w:cs="Courier New"/>
      <w:lang w:val="ru-ru" w:bidi="ar-sa"/>
    </w:rPr>
  </w:style>
  <w:style w:type="paragraph" w:styleId="para5" w:customStyle="1">
    <w:name w:val="ConsPlusDocList"/>
    <w:qFormat/>
    <w:pPr>
      <w:spacing w:after="0" w:line="240" w:lineRule="auto"/>
      <w:widowControl w:val="0"/>
    </w:pPr>
    <w:rPr>
      <w:rFonts w:ascii="Courier New" w:hAnsi="Courier New" w:cs="Courier New"/>
      <w:lang w:val="ru-ru" w:bidi="ar-sa"/>
    </w:rPr>
  </w:style>
  <w:style w:type="paragraph" w:styleId="para6" w:customStyle="1">
    <w:name w:val="ConsPlusTitlePage"/>
    <w:qFormat/>
    <w:pPr>
      <w:spacing w:after="0" w:line="240" w:lineRule="auto"/>
      <w:widowControl w:val="0"/>
    </w:pPr>
    <w:rPr>
      <w:rFonts w:ascii="Tahoma" w:hAnsi="Tahoma" w:cs="Tahoma"/>
      <w:lang w:val="ru-ru" w:bidi="ar-sa"/>
    </w:rPr>
  </w:style>
  <w:style w:type="paragraph" w:styleId="para7" w:customStyle="1">
    <w:name w:val="ConsPlusJurTerm"/>
    <w:qFormat/>
    <w:pPr>
      <w:spacing w:after="0" w:line="240" w:lineRule="auto"/>
      <w:widowControl w:val="0"/>
    </w:pPr>
    <w:rPr>
      <w:rFonts w:ascii="Tahoma" w:hAnsi="Tahoma" w:cs="Tahoma"/>
      <w:sz w:val="26"/>
      <w:lang w:val="ru-ru" w:bidi="ar-sa"/>
    </w:rPr>
  </w:style>
  <w:style w:type="paragraph" w:styleId="para8" w:customStyle="1">
    <w:name w:val="ConsPlusTextList"/>
    <w:qFormat/>
    <w:pPr>
      <w:spacing w:after="0" w:line="240" w:lineRule="auto"/>
      <w:widowControl w:val="0"/>
    </w:pPr>
    <w:rPr>
      <w:rFonts w:ascii="Arial" w:hAnsi="Arial" w:cs="Arial"/>
      <w:lang w:val="ru-ru" w:bidi="ar-sa"/>
    </w:rPr>
  </w:style>
  <w:style w:type="paragraph" w:styleId="para9" w:customStyle="1">
    <w:name w:val="Текст в заданном формате"/>
    <w:qFormat/>
    <w:basedOn w:val="para0"/>
    <w:pPr>
      <w:spacing w:after="0" w:line="240" w:lineRule="auto"/>
    </w:pPr>
    <w:rPr>
      <w:rFonts w:ascii="Liberation Mono" w:hAnsi="Liberation Mono" w:eastAsia="NSimSun" w:cs="Liberation Mono"/>
      <w:kern w:val="1"/>
      <w:sz w:val="20"/>
      <w:szCs w:val="20"/>
      <w:lang w:eastAsia="zh-cn" w:bidi="hi-in"/>
    </w:rPr>
  </w:style>
  <w:style w:type="character" w:styleId="char0" w:default="1">
    <w:name w:val="Default Paragraph Font"/>
  </w:style>
  <w:style w:type="table" w:default="1" w:styleId="TableNormal">
    <w:name w:val="Обычная таблица"/>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image" Target="media/image1.png"/><Relationship Id="rId8" Type="http://schemas.openxmlformats.org/officeDocument/2006/relationships/hyperlink" Target="http://base.garant.ru/12138258/9/#block_57" TargetMode="External"/><Relationship Id="rId9" Type="http://schemas.openxmlformats.org/officeDocument/2006/relationships/hyperlink" Target="http://base.garant.ru/12138257/#block_5" TargetMode="External"/><Relationship Id="rId10" Type="http://schemas.openxmlformats.org/officeDocument/2006/relationships/hyperlink" Target="http://base.garant.ru/186367/" TargetMode="External"/><Relationship Id="rId11" Type="http://schemas.openxmlformats.org/officeDocument/2006/relationships/hyperlink" Target="consultantplus://offline/ref=41A632AFACD1A328DE6BA16C9023F54C6361DCC41E2C7B4EB71BB2A3A7DB6F58A38AAC829A133D936D425582530CI" TargetMode="External"/><Relationship Id="rId12" Type="http://schemas.openxmlformats.org/officeDocument/2006/relationships/hyperlink" Target="consultantplus://offline/ref=41A632AFACD1A328DE6BA16C9023F54C6360D1C7122C7B4EB71BB2A3A7DB6F58A38AAC829A133D936D425582530CI" TargetMode="External"/><Relationship Id="rId13" Type="http://schemas.openxmlformats.org/officeDocument/2006/relationships/hyperlink" Target="consultantplus://offline/ref=41A632AFACD1A328DE6BBE799523F54C6260D4C01F262644BF42BEA1A0D4305DB69BF48D9D082392725E57803F500CI" TargetMode="External"/><Relationship Id="rId14" Type="http://schemas.openxmlformats.org/officeDocument/2006/relationships/hyperlink" Target="consultantplus://offline/ref=41A632AFACD1A328DE6BA074834FAB43606E8BCA1722281BEB1EB8F6FF843608E4DBAAD4DC4930937340558239068069D10F1BC3165B422F8D2A9A9C5406I" TargetMode="External"/><Relationship Id="rId15" Type="http://schemas.openxmlformats.org/officeDocument/2006/relationships/hyperlink" Target="consultantplus://offline/ref=41A632AFACD1A328DE6BA16C9023F54C6365D2C41F2C7B4EB71BB2A3A7DB6F58A38AAC829A133D936D425582530CI" TargetMode="External"/><Relationship Id="rId16" Type="http://schemas.openxmlformats.org/officeDocument/2006/relationships/hyperlink" Target="consultantplus://offline/ref=41A632AFACD1A328DE6BA16C9023F54C6361DDC11E2C7B4EB71BB2A3A7DB6F58A38AAC829A133D936D425582530CI" TargetMode="External"/><Relationship Id="rId17" Type="http://schemas.openxmlformats.org/officeDocument/2006/relationships/hyperlink" Target="consultantplus://offline/ref=41A632AFACD1A328DE6BBE799523F54C6262D7CE12242644BF42BEA1A0D4305DB69BF48D9D082392725E57803F500CI" TargetMode="External"/><Relationship Id="rId18" Type="http://schemas.openxmlformats.org/officeDocument/2006/relationships/hyperlink" Target="consultantplus://offline/ref=41A632AFACD1A328DE6BBE799523F54C6261DDC210212644BF42BEA1A0D4305DB69BF48D9D082392725E57803F500CI" TargetMode="External"/><Relationship Id="rId19" Type="http://schemas.openxmlformats.org/officeDocument/2006/relationships/hyperlink" Target="consultantplus://offline/ref=41A632AFACD1A328DE6BB7609223F54C646DD2C016262644BF42BEA1A0D4305DB69BF48D9D082392725E57803F500CI" TargetMode="External"/><Relationship Id="rId20" Type="http://schemas.openxmlformats.org/officeDocument/2006/relationships/hyperlink" Target="consultantplus://offline/ref=41A632AFACD1A328DE6BA16C9023F54C6063D5C6102C7B4EB71BB2A3A7DB6F4AA3D2A0809F0D3892781404C46800D63D8B5A17DF114540520FI" TargetMode="External"/><Relationship Id="rId21" Type="http://schemas.openxmlformats.org/officeDocument/2006/relationships/hyperlink" Target="consultantplus://offline/ref=41A632AFACD1A328DE6BA16C9023F54C6562D5CF1D717146EE17B0A4A8846A4DB2D2A385810D3C8C7140575801I" TargetMode="External"/><Relationship Id="rId22" Type="http://schemas.openxmlformats.org/officeDocument/2006/relationships/hyperlink" Target="consultantplus://offline/ref=41A632AFACD1A328DE6BA16C9023F54C656DD5C71D717146EE17B0A4A8846A4DB2D2A385810D3C8C7140575801I" TargetMode="External"/><Relationship Id="rId23" Type="http://schemas.openxmlformats.org/officeDocument/2006/relationships/hyperlink" Target="consultantplus://offline/ref=41A632AFACD1A328DE6BA16C9023F54C6360D1C7152C7B4EB71BB2A3A7DB6F58A38AAC829A133D936D425582530CI" TargetMode="External"/><Relationship Id="rId24" Type="http://schemas.openxmlformats.org/officeDocument/2006/relationships/hyperlink" Target="consultantplus://offline/ref=41A632AFACD1A328DE6BA16C9023F54C6360D1C7142C7B4EB71BB2A3A7DB6F58A38AAC829A133D936D425582530CI" TargetMode="External"/><Relationship Id="rId25" Type="http://schemas.openxmlformats.org/officeDocument/2006/relationships/hyperlink" Target="consultantplus://offline/ref=41A632AFACD1A328DE6BA16C9023F54C6360D3C6142C7B4EB71BB2A3A7DB6F58A38AAC829A133D936D425582530CI" TargetMode="External"/><Relationship Id="rId26" Type="http://schemas.openxmlformats.org/officeDocument/2006/relationships/hyperlink" Target="consultantplus://offline/ref=41A632AFACD1A328DE6BA074834FAB43606E8BCA17222912E115B8F6FF843608E4DBAAD4DC493093734055833D068069D10F1BC3165B422F8D2A9A9C5406I" TargetMode="External"/><Relationship Id="rId27" Type="http://schemas.openxmlformats.org/officeDocument/2006/relationships/hyperlink" Target="consultantplus://offline/ref=41A632AFACD1A328DE6BA16C9023F54C6364DCC6152C7B4EB71BB2A3A7DB6F58A38AAC829A133D936D425582530CI" TargetMode="External"/><Relationship Id="rId28" Type="http://schemas.openxmlformats.org/officeDocument/2006/relationships/hyperlink" Target="consultantplus://offline/ref=41A632AFACD1A328DE6BA16C9023F54C6360D5C7122C7B4EB71BB2A3A7DB6F58A38AAC829A133D936D425582530CI" TargetMode="External"/><Relationship Id="rId29" Type="http://schemas.openxmlformats.org/officeDocument/2006/relationships/hyperlink" Target="consultantplus://offline/ref=41A632AFACD1A328DE6BBE799523F54C6364D0C11E202644BF42BEA1A0D4305DA49BAC819F0D3D927A4B01D17958D93A904416C00D47422C5902I" TargetMode="External"/><Relationship Id="rId30" Type="http://schemas.openxmlformats.org/officeDocument/2006/relationships/hyperlink" Target="consultantplus://offline/ref=41A632AFACD1A328DE6BA16C9023F54C606CD7CF172C7B4EB71BB2A3A7DB6F58A38AAC829A133D936D425582530CI" TargetMode="External"/><Relationship Id="rId31" Type="http://schemas.openxmlformats.org/officeDocument/2006/relationships/hyperlink" Target="consultantplus://offline/ref=41A632AFACD1A328DE6BA074834FAB43606E8BCA17222E1BEB17B8F6FF843608E4DBAAD4DC4930937340578538068069D10F1BC3165B422F8D2A9A9C5406I" TargetMode="External"/><Relationship Id="rId32" Type="http://schemas.openxmlformats.org/officeDocument/2006/relationships/hyperlink" Target="consultantplus://offline/ref=41A632AFACD1A328DE6BA074834FAB43606E8BCA17222E1BEB17B8F6FF843608E4DBAAD4DC493093734057863E068069D10F1BC3165B422F8D2A9A9C5406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rev.982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
  <cp:revision>8</cp:revision>
  <dcterms:created xsi:type="dcterms:W3CDTF">2021-01-25T08:52:00Z</dcterms:created>
  <dcterms:modified xsi:type="dcterms:W3CDTF">2021-07-01T07:18:59Z</dcterms:modified>
</cp:coreProperties>
</file>